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dTable1Light-Accent3"/>
        <w:tblW w:w="0" w:type="auto"/>
        <w:tblInd w:w="279" w:type="dxa"/>
        <w:tblLook w:val="04A0" w:firstRow="1" w:lastRow="0" w:firstColumn="1" w:lastColumn="0" w:noHBand="0" w:noVBand="1"/>
      </w:tblPr>
      <w:tblGrid>
        <w:gridCol w:w="1667"/>
        <w:gridCol w:w="7682"/>
      </w:tblGrid>
      <w:tr w:rsidR="005517E5" w:rsidRPr="00C138DE" w14:paraId="4D49B06A" w14:textId="77777777" w:rsidTr="006811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6" w:type="dxa"/>
          </w:tcPr>
          <w:p w14:paraId="718852C8" w14:textId="5D283F81" w:rsidR="005517E5" w:rsidRPr="00C138DE" w:rsidRDefault="005517E5" w:rsidP="009D0FD5">
            <w:pPr>
              <w:rPr>
                <w:rFonts w:cs="Times New Roman"/>
                <w:b w:val="0"/>
                <w:bCs w:val="0"/>
                <w:sz w:val="28"/>
                <w:szCs w:val="28"/>
              </w:rPr>
            </w:pPr>
          </w:p>
        </w:tc>
        <w:tc>
          <w:tcPr>
            <w:tcW w:w="7791" w:type="dxa"/>
          </w:tcPr>
          <w:p w14:paraId="15DCA8F0" w14:textId="75179E61" w:rsidR="005517E5" w:rsidRPr="00C138DE" w:rsidRDefault="002C390A" w:rsidP="004E55BE">
            <w:pPr>
              <w:pStyle w:val="Heading1"/>
              <w:spacing w:before="0" w:after="0"/>
              <w:jc w:val="center"/>
              <w:cnfStyle w:val="100000000000" w:firstRow="1" w:lastRow="0" w:firstColumn="0" w:lastColumn="0" w:oddVBand="0" w:evenVBand="0" w:oddHBand="0" w:evenHBand="0" w:firstRowFirstColumn="0" w:firstRowLastColumn="0" w:lastRowFirstColumn="0" w:lastRowLastColumn="0"/>
              <w:rPr>
                <w:rFonts w:ascii="Cambria" w:eastAsia="Cambria" w:hAnsi="Cambria" w:cs="Cambria"/>
                <w:color w:val="auto"/>
                <w:sz w:val="22"/>
                <w:szCs w:val="22"/>
                <w:lang w:eastAsia="id-ID"/>
              </w:rPr>
            </w:pPr>
            <w:r w:rsidRPr="00C138DE">
              <w:rPr>
                <w:rFonts w:ascii="Cambria" w:hAnsi="Cambria"/>
                <w:color w:val="auto"/>
                <w:sz w:val="28"/>
                <w:szCs w:val="28"/>
              </w:rPr>
              <w:br/>
            </w:r>
            <w:proofErr w:type="spellStart"/>
            <w:r w:rsidRPr="00C138DE">
              <w:rPr>
                <w:rFonts w:ascii="Cambria" w:hAnsi="Cambria"/>
                <w:color w:val="auto"/>
                <w:sz w:val="28"/>
                <w:szCs w:val="28"/>
              </w:rPr>
              <w:t>Glosains</w:t>
            </w:r>
            <w:proofErr w:type="spellEnd"/>
            <w:r w:rsidRPr="00C138DE">
              <w:rPr>
                <w:rFonts w:ascii="Cambria" w:hAnsi="Cambria"/>
                <w:color w:val="auto"/>
                <w:sz w:val="28"/>
                <w:szCs w:val="28"/>
              </w:rPr>
              <w:t xml:space="preserve">: </w:t>
            </w:r>
            <w:proofErr w:type="spellStart"/>
            <w:r w:rsidRPr="00C138DE">
              <w:rPr>
                <w:rFonts w:ascii="Cambria" w:hAnsi="Cambria"/>
                <w:color w:val="auto"/>
                <w:sz w:val="28"/>
                <w:szCs w:val="28"/>
              </w:rPr>
              <w:t>Jurnal</w:t>
            </w:r>
            <w:proofErr w:type="spellEnd"/>
            <w:r w:rsidRPr="00C138DE">
              <w:rPr>
                <w:rFonts w:ascii="Cambria" w:hAnsi="Cambria"/>
                <w:color w:val="auto"/>
                <w:sz w:val="28"/>
                <w:szCs w:val="28"/>
              </w:rPr>
              <w:t xml:space="preserve"> Sains Global Indonesia</w:t>
            </w:r>
            <w:r w:rsidRPr="00C138DE">
              <w:rPr>
                <w:rFonts w:ascii="Cambria" w:hAnsi="Cambria"/>
                <w:color w:val="auto"/>
                <w:sz w:val="28"/>
                <w:szCs w:val="28"/>
              </w:rPr>
              <w:br/>
            </w:r>
            <w:r w:rsidRPr="00C138DE">
              <w:rPr>
                <w:rFonts w:ascii="Cambria" w:eastAsia="Cambria" w:hAnsi="Cambria" w:cs="Cambria"/>
                <w:color w:val="auto"/>
                <w:sz w:val="22"/>
                <w:szCs w:val="22"/>
                <w:lang w:eastAsia="id-ID"/>
              </w:rPr>
              <w:t xml:space="preserve">Volume </w:t>
            </w:r>
            <w:r w:rsidR="0056121F" w:rsidRPr="00C138DE">
              <w:rPr>
                <w:rFonts w:ascii="Cambria" w:eastAsia="Cambria" w:hAnsi="Cambria" w:cs="Cambria"/>
                <w:color w:val="auto"/>
                <w:sz w:val="22"/>
                <w:szCs w:val="22"/>
                <w:lang w:eastAsia="id-ID"/>
              </w:rPr>
              <w:t>7</w:t>
            </w:r>
            <w:r w:rsidRPr="00C138DE">
              <w:rPr>
                <w:rFonts w:ascii="Cambria" w:eastAsia="Cambria" w:hAnsi="Cambria" w:cs="Cambria"/>
                <w:color w:val="auto"/>
                <w:sz w:val="22"/>
                <w:szCs w:val="22"/>
                <w:lang w:eastAsia="id-ID"/>
              </w:rPr>
              <w:t xml:space="preserve">, Issue </w:t>
            </w:r>
            <w:r w:rsidR="0056121F" w:rsidRPr="00C138DE">
              <w:rPr>
                <w:rFonts w:ascii="Cambria" w:eastAsia="Cambria" w:hAnsi="Cambria" w:cs="Cambria"/>
                <w:color w:val="auto"/>
                <w:sz w:val="22"/>
                <w:szCs w:val="22"/>
                <w:lang w:eastAsia="id-ID"/>
              </w:rPr>
              <w:t>3</w:t>
            </w:r>
            <w:r w:rsidRPr="00C138DE">
              <w:rPr>
                <w:rFonts w:ascii="Cambria" w:eastAsia="Cambria" w:hAnsi="Cambria" w:cs="Cambria"/>
                <w:color w:val="auto"/>
                <w:sz w:val="22"/>
                <w:szCs w:val="22"/>
                <w:lang w:eastAsia="id-ID"/>
              </w:rPr>
              <w:t xml:space="preserve">, </w:t>
            </w:r>
            <w:r w:rsidR="004E55BE">
              <w:rPr>
                <w:rFonts w:ascii="Cambria" w:eastAsia="Cambria" w:hAnsi="Cambria" w:cs="Cambria"/>
                <w:color w:val="auto"/>
                <w:sz w:val="22"/>
                <w:szCs w:val="22"/>
                <w:lang w:eastAsia="id-ID"/>
              </w:rPr>
              <w:t>1038</w:t>
            </w:r>
            <w:r w:rsidRPr="00C138DE">
              <w:rPr>
                <w:rFonts w:ascii="Cambria" w:eastAsia="Cambria" w:hAnsi="Cambria" w:cs="Cambria"/>
                <w:color w:val="auto"/>
                <w:sz w:val="22"/>
                <w:szCs w:val="22"/>
                <w:lang w:eastAsia="id-ID"/>
              </w:rPr>
              <w:t>-</w:t>
            </w:r>
            <w:r w:rsidR="004E55BE">
              <w:rPr>
                <w:rFonts w:ascii="Cambria" w:eastAsia="Cambria" w:hAnsi="Cambria" w:cs="Cambria"/>
                <w:color w:val="auto"/>
                <w:sz w:val="22"/>
                <w:szCs w:val="22"/>
                <w:lang w:eastAsia="id-ID"/>
              </w:rPr>
              <w:t>1047</w:t>
            </w:r>
            <w:r w:rsidRPr="00C138DE">
              <w:rPr>
                <w:rFonts w:ascii="Cambria" w:eastAsia="Cambria" w:hAnsi="Cambria" w:cs="Cambria"/>
                <w:color w:val="auto"/>
                <w:sz w:val="22"/>
                <w:szCs w:val="22"/>
                <w:lang w:eastAsia="id-ID"/>
              </w:rPr>
              <w:br/>
              <w:t>e</w:t>
            </w:r>
            <w:proofErr w:type="spellStart"/>
            <w:r w:rsidRPr="00C138DE">
              <w:rPr>
                <w:rFonts w:ascii="Cambria" w:eastAsia="Cambria" w:hAnsi="Cambria" w:cs="Cambria"/>
                <w:color w:val="auto"/>
                <w:sz w:val="22"/>
                <w:szCs w:val="22"/>
                <w:lang w:eastAsia="id-ID"/>
              </w:rPr>
              <w:t>_ISSN</w:t>
            </w:r>
            <w:proofErr w:type="spellEnd"/>
            <w:r w:rsidRPr="00C138DE">
              <w:rPr>
                <w:rFonts w:ascii="Cambria" w:eastAsia="Cambria" w:hAnsi="Cambria" w:cs="Cambria"/>
                <w:color w:val="auto"/>
                <w:sz w:val="22"/>
                <w:szCs w:val="22"/>
                <w:lang w:eastAsia="id-ID"/>
              </w:rPr>
              <w:t>: 2798-4311</w:t>
            </w:r>
            <w:r w:rsidRPr="00C138DE">
              <w:rPr>
                <w:color w:val="auto"/>
                <w:spacing w:val="-2"/>
                <w:sz w:val="20"/>
              </w:rPr>
              <w:br/>
            </w:r>
            <w:hyperlink r:id="rId8" w:history="1">
              <w:r w:rsidRPr="00C138DE">
                <w:rPr>
                  <w:rFonts w:ascii="Cambria" w:eastAsia="Cambria" w:hAnsi="Cambria" w:cs="Cambria"/>
                  <w:b w:val="0"/>
                  <w:bCs w:val="0"/>
                  <w:color w:val="auto"/>
                  <w:sz w:val="22"/>
                  <w:szCs w:val="22"/>
                  <w:lang w:eastAsia="id-ID"/>
                </w:rPr>
                <w:t>https://glosains.staiku.ac.id</w:t>
              </w:r>
            </w:hyperlink>
            <w:r w:rsidRPr="00C138DE">
              <w:rPr>
                <w:rFonts w:ascii="Cambria" w:eastAsia="Cambria" w:hAnsi="Cambria" w:cs="Cambria"/>
                <w:b w:val="0"/>
                <w:bCs w:val="0"/>
                <w:color w:val="auto"/>
                <w:sz w:val="22"/>
                <w:szCs w:val="22"/>
                <w:lang w:eastAsia="id-ID"/>
              </w:rPr>
              <w:br/>
              <w:t>DOI</w:t>
            </w:r>
            <w:r w:rsidR="0056121F" w:rsidRPr="00C138DE">
              <w:rPr>
                <w:rFonts w:ascii="Cambria" w:eastAsia="Cambria" w:hAnsi="Cambria" w:cs="Cambria"/>
                <w:b w:val="0"/>
                <w:bCs w:val="0"/>
                <w:color w:val="auto"/>
                <w:sz w:val="22"/>
                <w:szCs w:val="22"/>
                <w:lang w:eastAsia="id-ID"/>
              </w:rPr>
              <w:t>:</w:t>
            </w:r>
            <w:r w:rsidRPr="00C138DE">
              <w:rPr>
                <w:rFonts w:ascii="Cambria" w:eastAsia="Cambria" w:hAnsi="Cambria" w:cs="Cambria"/>
                <w:b w:val="0"/>
                <w:bCs w:val="0"/>
                <w:color w:val="auto"/>
                <w:sz w:val="22"/>
                <w:szCs w:val="22"/>
                <w:lang w:eastAsia="id-ID"/>
              </w:rPr>
              <w:t xml:space="preserve"> doi.org/10.59784/</w:t>
            </w:r>
            <w:proofErr w:type="gramStart"/>
            <w:r w:rsidRPr="00C138DE">
              <w:rPr>
                <w:rFonts w:ascii="Cambria" w:eastAsia="Cambria" w:hAnsi="Cambria" w:cs="Cambria"/>
                <w:b w:val="0"/>
                <w:bCs w:val="0"/>
                <w:color w:val="auto"/>
                <w:sz w:val="22"/>
                <w:szCs w:val="22"/>
                <w:lang w:eastAsia="id-ID"/>
              </w:rPr>
              <w:t>glosains.v</w:t>
            </w:r>
            <w:proofErr w:type="gramEnd"/>
            <w:r w:rsidR="0056121F" w:rsidRPr="00C138DE">
              <w:rPr>
                <w:rFonts w:ascii="Cambria" w:eastAsia="Cambria" w:hAnsi="Cambria" w:cs="Cambria"/>
                <w:b w:val="0"/>
                <w:bCs w:val="0"/>
                <w:color w:val="auto"/>
                <w:sz w:val="22"/>
                <w:szCs w:val="22"/>
                <w:lang w:eastAsia="id-ID"/>
              </w:rPr>
              <w:t>7</w:t>
            </w:r>
            <w:r w:rsidRPr="00C138DE">
              <w:rPr>
                <w:rFonts w:ascii="Cambria" w:eastAsia="Cambria" w:hAnsi="Cambria" w:cs="Cambria"/>
                <w:b w:val="0"/>
                <w:bCs w:val="0"/>
                <w:color w:val="auto"/>
                <w:sz w:val="22"/>
                <w:szCs w:val="22"/>
                <w:lang w:eastAsia="id-ID"/>
              </w:rPr>
              <w:t>i</w:t>
            </w:r>
            <w:r w:rsidR="0056121F" w:rsidRPr="00C138DE">
              <w:rPr>
                <w:rFonts w:ascii="Cambria" w:eastAsia="Cambria" w:hAnsi="Cambria" w:cs="Cambria"/>
                <w:b w:val="0"/>
                <w:bCs w:val="0"/>
                <w:color w:val="auto"/>
                <w:sz w:val="22"/>
                <w:szCs w:val="22"/>
                <w:lang w:eastAsia="id-ID"/>
              </w:rPr>
              <w:t>3</w:t>
            </w:r>
            <w:r w:rsidRPr="00C138DE">
              <w:rPr>
                <w:rFonts w:ascii="Cambria" w:eastAsia="Cambria" w:hAnsi="Cambria" w:cs="Cambria"/>
                <w:b w:val="0"/>
                <w:bCs w:val="0"/>
                <w:color w:val="auto"/>
                <w:sz w:val="22"/>
                <w:szCs w:val="22"/>
                <w:lang w:eastAsia="id-ID"/>
              </w:rPr>
              <w:t>.</w:t>
            </w:r>
            <w:r w:rsidR="0056121F" w:rsidRPr="00C138DE">
              <w:rPr>
                <w:rFonts w:ascii="Cambria" w:eastAsia="Cambria" w:hAnsi="Cambria" w:cs="Cambria"/>
                <w:b w:val="0"/>
                <w:bCs w:val="0"/>
                <w:color w:val="auto"/>
                <w:sz w:val="22"/>
                <w:szCs w:val="22"/>
                <w:lang w:eastAsia="id-ID"/>
              </w:rPr>
              <w:t>757</w:t>
            </w:r>
          </w:p>
        </w:tc>
      </w:tr>
    </w:tbl>
    <w:p w14:paraId="238465F3" w14:textId="6C19154C" w:rsidR="00EB03BC" w:rsidRPr="00C138DE" w:rsidRDefault="002C390A" w:rsidP="009D0FD5">
      <w:pPr>
        <w:rPr>
          <w:rFonts w:cs="Times New Roman"/>
          <w:b/>
          <w:bCs/>
          <w:sz w:val="28"/>
          <w:szCs w:val="28"/>
        </w:rPr>
      </w:pPr>
      <w:r w:rsidRPr="00C138DE">
        <w:rPr>
          <w:rFonts w:cs="Times New Roman"/>
          <w:noProof/>
          <w:sz w:val="28"/>
          <w:szCs w:val="28"/>
          <w14:ligatures w14:val="standardContextual"/>
        </w:rPr>
        <w:drawing>
          <wp:anchor distT="0" distB="0" distL="114300" distR="114300" simplePos="0" relativeHeight="251667456" behindDoc="0" locked="0" layoutInCell="1" allowOverlap="1" wp14:anchorId="62AA3CCB" wp14:editId="59F73784">
            <wp:simplePos x="0" y="0"/>
            <wp:positionH relativeFrom="column">
              <wp:posOffset>153035</wp:posOffset>
            </wp:positionH>
            <wp:positionV relativeFrom="paragraph">
              <wp:posOffset>-1184096</wp:posOffset>
            </wp:positionV>
            <wp:extent cx="1146175" cy="1133475"/>
            <wp:effectExtent l="0" t="0" r="0" b="0"/>
            <wp:wrapNone/>
            <wp:docPr id="2121840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84072" name="Picture 21218407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46175" cy="1133475"/>
                    </a:xfrm>
                    <a:prstGeom prst="rect">
                      <a:avLst/>
                    </a:prstGeom>
                  </pic:spPr>
                </pic:pic>
              </a:graphicData>
            </a:graphic>
            <wp14:sizeRelH relativeFrom="page">
              <wp14:pctWidth>0</wp14:pctWidth>
            </wp14:sizeRelH>
            <wp14:sizeRelV relativeFrom="page">
              <wp14:pctHeight>0</wp14:pctHeight>
            </wp14:sizeRelV>
          </wp:anchor>
        </w:drawing>
      </w:r>
    </w:p>
    <w:p w14:paraId="1861210A" w14:textId="7E15B3DA" w:rsidR="00C317C4" w:rsidRPr="00C138DE" w:rsidRDefault="00970DED" w:rsidP="00FA20D9">
      <w:pPr>
        <w:tabs>
          <w:tab w:val="center" w:pos="4676"/>
          <w:tab w:val="left" w:pos="9320"/>
          <w:tab w:val="right" w:pos="9353"/>
        </w:tabs>
        <w:ind w:left="284" w:right="282"/>
        <w:jc w:val="center"/>
        <w:rPr>
          <w:b/>
          <w:bCs/>
          <w:sz w:val="28"/>
          <w:szCs w:val="28"/>
        </w:rPr>
      </w:pPr>
      <w:r w:rsidRPr="00C138DE">
        <w:rPr>
          <w:b/>
          <w:bCs/>
          <w:sz w:val="28"/>
          <w:szCs w:val="28"/>
        </w:rPr>
        <w:t>Sarcopenia Associated with Cognitive Frailty in Adults Diagnosed with Diabetes: Evidence from Primary Healthcare Centers</w:t>
      </w:r>
    </w:p>
    <w:p w14:paraId="452F1DF8" w14:textId="77777777" w:rsidR="00632449" w:rsidRPr="00C138DE" w:rsidRDefault="00632449" w:rsidP="00C317C4">
      <w:pPr>
        <w:tabs>
          <w:tab w:val="center" w:pos="4676"/>
          <w:tab w:val="left" w:pos="9320"/>
          <w:tab w:val="right" w:pos="9353"/>
        </w:tabs>
        <w:jc w:val="center"/>
        <w:rPr>
          <w:b/>
          <w:bCs/>
          <w:sz w:val="28"/>
          <w:szCs w:val="28"/>
        </w:rPr>
      </w:pPr>
    </w:p>
    <w:tbl>
      <w:tblPr>
        <w:tblStyle w:val="TableGrid"/>
        <w:tblW w:w="378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09"/>
        <w:gridCol w:w="2412"/>
        <w:gridCol w:w="2483"/>
      </w:tblGrid>
      <w:tr w:rsidR="00632449" w:rsidRPr="00C138DE" w14:paraId="5931F559" w14:textId="77777777" w:rsidTr="00975567">
        <w:trPr>
          <w:trHeight w:val="248"/>
          <w:jc w:val="center"/>
        </w:trPr>
        <w:tc>
          <w:tcPr>
            <w:tcW w:w="1649" w:type="pct"/>
          </w:tcPr>
          <w:p w14:paraId="4704C4A2" w14:textId="4FF9FF44" w:rsidR="00632449" w:rsidRPr="00C138DE" w:rsidRDefault="001C365C" w:rsidP="00975567">
            <w:pPr>
              <w:pStyle w:val="TableParagraph"/>
              <w:jc w:val="center"/>
              <w:rPr>
                <w:rFonts w:cs="Times New Roman"/>
                <w:b/>
                <w:sz w:val="20"/>
              </w:rPr>
            </w:pPr>
            <w:r>
              <w:rPr>
                <w:rFonts w:cs="Times New Roman"/>
                <w:b/>
                <w:bCs/>
                <w:sz w:val="20"/>
                <w:lang w:val="pt-BR"/>
              </w:rPr>
              <w:t>*</w:t>
            </w:r>
            <w:proofErr w:type="spellStart"/>
            <w:r w:rsidR="00632449" w:rsidRPr="00C138DE">
              <w:rPr>
                <w:rFonts w:cs="Times New Roman"/>
                <w:b/>
                <w:bCs/>
                <w:sz w:val="20"/>
                <w:lang w:val="pt-BR"/>
              </w:rPr>
              <w:t>Laurentius</w:t>
            </w:r>
            <w:proofErr w:type="spellEnd"/>
            <w:r w:rsidR="00632449" w:rsidRPr="00C138DE">
              <w:rPr>
                <w:rFonts w:cs="Times New Roman"/>
                <w:b/>
                <w:bCs/>
                <w:sz w:val="20"/>
                <w:lang w:val="pt-BR"/>
              </w:rPr>
              <w:t xml:space="preserve"> Johan </w:t>
            </w:r>
            <w:proofErr w:type="spellStart"/>
            <w:r w:rsidR="00632449" w:rsidRPr="00C138DE">
              <w:rPr>
                <w:rFonts w:cs="Times New Roman"/>
                <w:b/>
                <w:bCs/>
                <w:sz w:val="20"/>
                <w:lang w:val="pt-BR"/>
              </w:rPr>
              <w:t>Ardian</w:t>
            </w:r>
            <w:proofErr w:type="spellEnd"/>
          </w:p>
        </w:tc>
        <w:tc>
          <w:tcPr>
            <w:tcW w:w="1651" w:type="pct"/>
          </w:tcPr>
          <w:p w14:paraId="1CF85717" w14:textId="5889B80E" w:rsidR="00632449" w:rsidRPr="00C138DE" w:rsidRDefault="00632449" w:rsidP="00975567">
            <w:pPr>
              <w:pStyle w:val="TableParagraph"/>
              <w:jc w:val="center"/>
              <w:rPr>
                <w:rFonts w:cs="Times New Roman"/>
                <w:b/>
                <w:sz w:val="20"/>
              </w:rPr>
            </w:pPr>
            <w:proofErr w:type="spellStart"/>
            <w:r w:rsidRPr="00C138DE">
              <w:rPr>
                <w:rFonts w:cs="Times New Roman"/>
                <w:b/>
                <w:bCs/>
                <w:sz w:val="20"/>
                <w:lang w:val="pt-BR"/>
              </w:rPr>
              <w:t>Fitria</w:t>
            </w:r>
            <w:proofErr w:type="spellEnd"/>
            <w:r w:rsidRPr="00C138DE">
              <w:rPr>
                <w:rFonts w:cs="Times New Roman"/>
                <w:b/>
                <w:bCs/>
                <w:sz w:val="20"/>
                <w:lang w:val="pt-BR"/>
              </w:rPr>
              <w:t xml:space="preserve"> </w:t>
            </w:r>
            <w:proofErr w:type="spellStart"/>
            <w:r w:rsidRPr="00C138DE">
              <w:rPr>
                <w:rFonts w:cs="Times New Roman"/>
                <w:b/>
                <w:bCs/>
                <w:sz w:val="20"/>
                <w:lang w:val="pt-BR"/>
              </w:rPr>
              <w:t>Kusuma</w:t>
            </w:r>
            <w:proofErr w:type="spellEnd"/>
            <w:r w:rsidRPr="00C138DE">
              <w:rPr>
                <w:rFonts w:cs="Times New Roman"/>
                <w:b/>
                <w:bCs/>
                <w:sz w:val="20"/>
                <w:lang w:val="pt-BR"/>
              </w:rPr>
              <w:t xml:space="preserve"> </w:t>
            </w:r>
            <w:proofErr w:type="spellStart"/>
            <w:r w:rsidRPr="00C138DE">
              <w:rPr>
                <w:rFonts w:cs="Times New Roman"/>
                <w:b/>
                <w:bCs/>
                <w:sz w:val="20"/>
                <w:lang w:val="pt-BR"/>
              </w:rPr>
              <w:t>Wardhani</w:t>
            </w:r>
            <w:proofErr w:type="spellEnd"/>
          </w:p>
        </w:tc>
        <w:tc>
          <w:tcPr>
            <w:tcW w:w="1700" w:type="pct"/>
          </w:tcPr>
          <w:p w14:paraId="7E31D7D5" w14:textId="3666E560" w:rsidR="00632449" w:rsidRPr="00C138DE" w:rsidRDefault="00632449" w:rsidP="00975567">
            <w:pPr>
              <w:pStyle w:val="TableParagraph"/>
              <w:jc w:val="center"/>
              <w:rPr>
                <w:rFonts w:cs="Times New Roman"/>
                <w:b/>
                <w:sz w:val="20"/>
              </w:rPr>
            </w:pPr>
            <w:proofErr w:type="spellStart"/>
            <w:r w:rsidRPr="00C138DE">
              <w:rPr>
                <w:rFonts w:cs="Times New Roman"/>
                <w:b/>
                <w:bCs/>
                <w:sz w:val="20"/>
                <w:lang w:val="pt-BR"/>
              </w:rPr>
              <w:t>Bisarda</w:t>
            </w:r>
            <w:proofErr w:type="spellEnd"/>
            <w:r w:rsidRPr="00C138DE">
              <w:rPr>
                <w:rFonts w:cs="Times New Roman"/>
                <w:b/>
                <w:bCs/>
                <w:sz w:val="20"/>
                <w:lang w:val="pt-BR"/>
              </w:rPr>
              <w:t xml:space="preserve"> </w:t>
            </w:r>
            <w:proofErr w:type="spellStart"/>
            <w:r w:rsidRPr="00C138DE">
              <w:rPr>
                <w:rFonts w:cs="Times New Roman"/>
                <w:b/>
                <w:bCs/>
                <w:sz w:val="20"/>
                <w:lang w:val="pt-BR"/>
              </w:rPr>
              <w:t>Kanira</w:t>
            </w:r>
            <w:proofErr w:type="spellEnd"/>
          </w:p>
        </w:tc>
      </w:tr>
      <w:tr w:rsidR="00632449" w:rsidRPr="00C138DE" w14:paraId="4D921678" w14:textId="77777777" w:rsidTr="00975567">
        <w:trPr>
          <w:trHeight w:val="343"/>
          <w:jc w:val="center"/>
        </w:trPr>
        <w:tc>
          <w:tcPr>
            <w:tcW w:w="1649" w:type="pct"/>
          </w:tcPr>
          <w:p w14:paraId="6C9E319E" w14:textId="77777777" w:rsidR="00632449" w:rsidRPr="00C138DE" w:rsidRDefault="00632449" w:rsidP="00975567">
            <w:pPr>
              <w:pStyle w:val="TableParagraph"/>
              <w:ind w:left="33"/>
              <w:jc w:val="center"/>
              <w:rPr>
                <w:rFonts w:cs="Times New Roman"/>
                <w:sz w:val="14"/>
              </w:rPr>
            </w:pPr>
            <w:r w:rsidRPr="00C138DE">
              <w:rPr>
                <w:sz w:val="14"/>
                <w:szCs w:val="14"/>
              </w:rPr>
              <w:t xml:space="preserve">Universitas Pembangunan Nasional Veteran </w:t>
            </w:r>
            <w:proofErr w:type="spellStart"/>
            <w:r w:rsidRPr="00C138DE">
              <w:rPr>
                <w:sz w:val="14"/>
                <w:szCs w:val="14"/>
              </w:rPr>
              <w:t>Jawa</w:t>
            </w:r>
            <w:proofErr w:type="spellEnd"/>
            <w:r w:rsidRPr="00C138DE">
              <w:rPr>
                <w:sz w:val="14"/>
                <w:szCs w:val="14"/>
              </w:rPr>
              <w:t xml:space="preserve"> Timur, Surabaya</w:t>
            </w:r>
            <w:r w:rsidRPr="00C138DE">
              <w:rPr>
                <w:rFonts w:cs="Times New Roman"/>
                <w:sz w:val="14"/>
              </w:rPr>
              <w:t xml:space="preserve">, </w:t>
            </w:r>
          </w:p>
          <w:p w14:paraId="0BE275E2" w14:textId="77777777" w:rsidR="00632449" w:rsidRPr="00C138DE" w:rsidRDefault="00632449" w:rsidP="00975567">
            <w:pPr>
              <w:pStyle w:val="TableParagraph"/>
              <w:jc w:val="center"/>
              <w:rPr>
                <w:rFonts w:cs="Times New Roman"/>
                <w:sz w:val="14"/>
              </w:rPr>
            </w:pPr>
            <w:r w:rsidRPr="00C138DE">
              <w:rPr>
                <w:sz w:val="14"/>
                <w:szCs w:val="14"/>
              </w:rPr>
              <w:t xml:space="preserve">Indonesia </w:t>
            </w:r>
          </w:p>
        </w:tc>
        <w:tc>
          <w:tcPr>
            <w:tcW w:w="1651" w:type="pct"/>
          </w:tcPr>
          <w:p w14:paraId="09D11FC5" w14:textId="77777777" w:rsidR="00632449" w:rsidRPr="00C138DE" w:rsidRDefault="00632449" w:rsidP="00975567">
            <w:pPr>
              <w:pStyle w:val="TableParagraph"/>
              <w:ind w:left="33"/>
              <w:jc w:val="center"/>
              <w:rPr>
                <w:rFonts w:cs="Times New Roman"/>
                <w:sz w:val="14"/>
              </w:rPr>
            </w:pPr>
            <w:r w:rsidRPr="00C138DE">
              <w:rPr>
                <w:sz w:val="14"/>
                <w:szCs w:val="14"/>
              </w:rPr>
              <w:t xml:space="preserve">Universitas Pembangunan Nasional Veteran </w:t>
            </w:r>
            <w:proofErr w:type="spellStart"/>
            <w:r w:rsidRPr="00C138DE">
              <w:rPr>
                <w:sz w:val="14"/>
                <w:szCs w:val="14"/>
              </w:rPr>
              <w:t>Jawa</w:t>
            </w:r>
            <w:proofErr w:type="spellEnd"/>
            <w:r w:rsidRPr="00C138DE">
              <w:rPr>
                <w:sz w:val="14"/>
                <w:szCs w:val="14"/>
              </w:rPr>
              <w:t xml:space="preserve"> Timur, Surabaya</w:t>
            </w:r>
            <w:r w:rsidRPr="00C138DE">
              <w:rPr>
                <w:rFonts w:cs="Times New Roman"/>
                <w:sz w:val="14"/>
              </w:rPr>
              <w:t xml:space="preserve">, </w:t>
            </w:r>
          </w:p>
          <w:p w14:paraId="36BC72AD" w14:textId="77777777" w:rsidR="00632449" w:rsidRPr="00C138DE" w:rsidRDefault="00632449" w:rsidP="00975567">
            <w:pPr>
              <w:pStyle w:val="TableParagraph"/>
              <w:jc w:val="center"/>
              <w:rPr>
                <w:rFonts w:cs="Times New Roman"/>
                <w:sz w:val="14"/>
              </w:rPr>
            </w:pPr>
            <w:r w:rsidRPr="00C138DE">
              <w:rPr>
                <w:sz w:val="14"/>
                <w:szCs w:val="14"/>
              </w:rPr>
              <w:t>Indonesia</w:t>
            </w:r>
          </w:p>
        </w:tc>
        <w:tc>
          <w:tcPr>
            <w:tcW w:w="1700" w:type="pct"/>
          </w:tcPr>
          <w:p w14:paraId="768833D5" w14:textId="77777777" w:rsidR="00632449" w:rsidRPr="00C138DE" w:rsidRDefault="00632449" w:rsidP="00975567">
            <w:pPr>
              <w:pStyle w:val="TableParagraph"/>
              <w:ind w:left="33"/>
              <w:jc w:val="center"/>
              <w:rPr>
                <w:rFonts w:cs="Times New Roman"/>
                <w:sz w:val="14"/>
              </w:rPr>
            </w:pPr>
            <w:r w:rsidRPr="00C138DE">
              <w:rPr>
                <w:sz w:val="14"/>
                <w:szCs w:val="14"/>
              </w:rPr>
              <w:t xml:space="preserve">Universitas Pembangunan Nasional Veteran </w:t>
            </w:r>
            <w:proofErr w:type="spellStart"/>
            <w:r w:rsidRPr="00C138DE">
              <w:rPr>
                <w:sz w:val="14"/>
                <w:szCs w:val="14"/>
              </w:rPr>
              <w:t>Jawa</w:t>
            </w:r>
            <w:proofErr w:type="spellEnd"/>
            <w:r w:rsidRPr="00C138DE">
              <w:rPr>
                <w:sz w:val="14"/>
                <w:szCs w:val="14"/>
              </w:rPr>
              <w:t xml:space="preserve"> Timur, Surabaya</w:t>
            </w:r>
            <w:r w:rsidRPr="00C138DE">
              <w:rPr>
                <w:rFonts w:cs="Times New Roman"/>
                <w:sz w:val="14"/>
              </w:rPr>
              <w:t xml:space="preserve">, </w:t>
            </w:r>
          </w:p>
          <w:p w14:paraId="62395C2D" w14:textId="77777777" w:rsidR="00632449" w:rsidRPr="00C138DE" w:rsidRDefault="00632449" w:rsidP="00975567">
            <w:pPr>
              <w:pStyle w:val="TableParagraph"/>
              <w:jc w:val="center"/>
              <w:rPr>
                <w:sz w:val="14"/>
                <w:szCs w:val="14"/>
              </w:rPr>
            </w:pPr>
            <w:r w:rsidRPr="00C138DE">
              <w:rPr>
                <w:sz w:val="14"/>
                <w:szCs w:val="14"/>
              </w:rPr>
              <w:t>Indonesia</w:t>
            </w:r>
          </w:p>
        </w:tc>
      </w:tr>
      <w:tr w:rsidR="00632449" w:rsidRPr="00C138DE" w14:paraId="23892FCB" w14:textId="77777777" w:rsidTr="00975567">
        <w:trPr>
          <w:trHeight w:val="343"/>
          <w:jc w:val="center"/>
        </w:trPr>
        <w:tc>
          <w:tcPr>
            <w:tcW w:w="1649" w:type="pct"/>
          </w:tcPr>
          <w:p w14:paraId="7874D78D" w14:textId="77777777" w:rsidR="00632449" w:rsidRPr="00C138DE" w:rsidRDefault="00632449" w:rsidP="00975567">
            <w:pPr>
              <w:pStyle w:val="TableParagraph"/>
              <w:ind w:left="33"/>
              <w:jc w:val="center"/>
              <w:rPr>
                <w:sz w:val="14"/>
                <w:szCs w:val="14"/>
              </w:rPr>
            </w:pPr>
          </w:p>
        </w:tc>
        <w:tc>
          <w:tcPr>
            <w:tcW w:w="1651" w:type="pct"/>
          </w:tcPr>
          <w:p w14:paraId="357E33E2" w14:textId="77777777" w:rsidR="00632449" w:rsidRPr="00C138DE" w:rsidRDefault="00632449" w:rsidP="00975567">
            <w:pPr>
              <w:pStyle w:val="TableParagraph"/>
              <w:jc w:val="center"/>
              <w:rPr>
                <w:sz w:val="14"/>
                <w:szCs w:val="14"/>
              </w:rPr>
            </w:pPr>
          </w:p>
        </w:tc>
        <w:tc>
          <w:tcPr>
            <w:tcW w:w="1700" w:type="pct"/>
          </w:tcPr>
          <w:p w14:paraId="45994216" w14:textId="77777777" w:rsidR="00632449" w:rsidRPr="00C138DE" w:rsidRDefault="00632449" w:rsidP="00975567">
            <w:pPr>
              <w:pStyle w:val="TableParagraph"/>
              <w:jc w:val="center"/>
              <w:rPr>
                <w:sz w:val="14"/>
                <w:szCs w:val="14"/>
              </w:rPr>
            </w:pPr>
          </w:p>
        </w:tc>
      </w:tr>
      <w:tr w:rsidR="00632449" w:rsidRPr="00C138DE" w14:paraId="30093031" w14:textId="77777777" w:rsidTr="00975567">
        <w:tblPrEx>
          <w:jc w:val="left"/>
          <w:tblLook w:val="04A0" w:firstRow="1" w:lastRow="0" w:firstColumn="1" w:lastColumn="0" w:noHBand="0" w:noVBand="1"/>
        </w:tblPrEx>
        <w:trPr>
          <w:trHeight w:val="248"/>
        </w:trPr>
        <w:tc>
          <w:tcPr>
            <w:tcW w:w="1649" w:type="pct"/>
          </w:tcPr>
          <w:p w14:paraId="60FB4481" w14:textId="55A8875E" w:rsidR="00632449" w:rsidRPr="00C138DE" w:rsidRDefault="00632449" w:rsidP="00975567">
            <w:pPr>
              <w:pStyle w:val="TableParagraph"/>
              <w:jc w:val="center"/>
              <w:rPr>
                <w:rFonts w:cs="Times New Roman"/>
                <w:b/>
                <w:sz w:val="20"/>
              </w:rPr>
            </w:pPr>
            <w:r w:rsidRPr="00C138DE">
              <w:rPr>
                <w:rFonts w:cs="Times New Roman"/>
                <w:b/>
                <w:bCs/>
                <w:sz w:val="20"/>
                <w:lang w:val="pt-BR"/>
              </w:rPr>
              <w:t xml:space="preserve">Aura Cinta </w:t>
            </w:r>
            <w:proofErr w:type="spellStart"/>
            <w:r w:rsidRPr="00C138DE">
              <w:rPr>
                <w:rFonts w:cs="Times New Roman"/>
                <w:b/>
                <w:bCs/>
                <w:sz w:val="20"/>
                <w:lang w:val="pt-BR"/>
              </w:rPr>
              <w:t>Jihada</w:t>
            </w:r>
            <w:proofErr w:type="spellEnd"/>
          </w:p>
        </w:tc>
        <w:tc>
          <w:tcPr>
            <w:tcW w:w="1651" w:type="pct"/>
          </w:tcPr>
          <w:p w14:paraId="227FE6D3" w14:textId="77777777" w:rsidR="00632449" w:rsidRPr="00C138DE" w:rsidRDefault="00632449" w:rsidP="00975567">
            <w:pPr>
              <w:pStyle w:val="TableParagraph"/>
              <w:jc w:val="center"/>
              <w:rPr>
                <w:rFonts w:cs="Times New Roman"/>
                <w:b/>
                <w:sz w:val="20"/>
              </w:rPr>
            </w:pPr>
          </w:p>
        </w:tc>
        <w:tc>
          <w:tcPr>
            <w:tcW w:w="1700" w:type="pct"/>
          </w:tcPr>
          <w:p w14:paraId="1FC6FDF4" w14:textId="247A6A1F" w:rsidR="00632449" w:rsidRPr="00C138DE" w:rsidRDefault="00632449" w:rsidP="00975567">
            <w:pPr>
              <w:pStyle w:val="TableParagraph"/>
              <w:jc w:val="center"/>
              <w:rPr>
                <w:rFonts w:cs="Times New Roman"/>
                <w:b/>
                <w:sz w:val="20"/>
              </w:rPr>
            </w:pPr>
            <w:r w:rsidRPr="00C138DE">
              <w:rPr>
                <w:rFonts w:cs="Times New Roman"/>
                <w:b/>
                <w:bCs/>
                <w:sz w:val="20"/>
                <w:lang w:val="pt-BR"/>
              </w:rPr>
              <w:t xml:space="preserve">Tia Maya </w:t>
            </w:r>
            <w:proofErr w:type="spellStart"/>
            <w:r w:rsidRPr="00C138DE">
              <w:rPr>
                <w:rFonts w:cs="Times New Roman"/>
                <w:b/>
                <w:bCs/>
                <w:sz w:val="20"/>
                <w:lang w:val="pt-BR"/>
              </w:rPr>
              <w:t>Affrita</w:t>
            </w:r>
            <w:proofErr w:type="spellEnd"/>
          </w:p>
        </w:tc>
      </w:tr>
      <w:tr w:rsidR="00632449" w:rsidRPr="00C138DE" w14:paraId="66E236E9" w14:textId="77777777" w:rsidTr="00975567">
        <w:tblPrEx>
          <w:jc w:val="left"/>
          <w:tblLook w:val="04A0" w:firstRow="1" w:lastRow="0" w:firstColumn="1" w:lastColumn="0" w:noHBand="0" w:noVBand="1"/>
        </w:tblPrEx>
        <w:trPr>
          <w:trHeight w:val="343"/>
        </w:trPr>
        <w:tc>
          <w:tcPr>
            <w:tcW w:w="1649" w:type="pct"/>
          </w:tcPr>
          <w:p w14:paraId="6B8A8444" w14:textId="77777777" w:rsidR="00632449" w:rsidRPr="00C138DE" w:rsidRDefault="00632449" w:rsidP="00975567">
            <w:pPr>
              <w:pStyle w:val="TableParagraph"/>
              <w:ind w:left="33"/>
              <w:jc w:val="center"/>
              <w:rPr>
                <w:rFonts w:cs="Times New Roman"/>
                <w:sz w:val="14"/>
              </w:rPr>
            </w:pPr>
            <w:r w:rsidRPr="00C138DE">
              <w:rPr>
                <w:sz w:val="14"/>
                <w:szCs w:val="14"/>
              </w:rPr>
              <w:t xml:space="preserve">Universitas Pembangunan Nasional Veteran </w:t>
            </w:r>
            <w:proofErr w:type="spellStart"/>
            <w:r w:rsidRPr="00C138DE">
              <w:rPr>
                <w:sz w:val="14"/>
                <w:szCs w:val="14"/>
              </w:rPr>
              <w:t>Jawa</w:t>
            </w:r>
            <w:proofErr w:type="spellEnd"/>
            <w:r w:rsidRPr="00C138DE">
              <w:rPr>
                <w:sz w:val="14"/>
                <w:szCs w:val="14"/>
              </w:rPr>
              <w:t xml:space="preserve"> Timur, Surabaya</w:t>
            </w:r>
            <w:r w:rsidRPr="00C138DE">
              <w:rPr>
                <w:rFonts w:cs="Times New Roman"/>
                <w:sz w:val="14"/>
              </w:rPr>
              <w:t xml:space="preserve">, </w:t>
            </w:r>
          </w:p>
          <w:p w14:paraId="3C0114F2" w14:textId="77777777" w:rsidR="00632449" w:rsidRPr="00C138DE" w:rsidRDefault="00632449" w:rsidP="00975567">
            <w:pPr>
              <w:pStyle w:val="TableParagraph"/>
              <w:jc w:val="center"/>
              <w:rPr>
                <w:rFonts w:cs="Times New Roman"/>
                <w:sz w:val="14"/>
              </w:rPr>
            </w:pPr>
            <w:r w:rsidRPr="00C138DE">
              <w:rPr>
                <w:sz w:val="14"/>
                <w:szCs w:val="14"/>
              </w:rPr>
              <w:t>Indonesia</w:t>
            </w:r>
          </w:p>
        </w:tc>
        <w:tc>
          <w:tcPr>
            <w:tcW w:w="1651" w:type="pct"/>
          </w:tcPr>
          <w:p w14:paraId="108D65A7" w14:textId="77777777" w:rsidR="00632449" w:rsidRPr="00C138DE" w:rsidRDefault="00632449" w:rsidP="00975567">
            <w:pPr>
              <w:pStyle w:val="TableParagraph"/>
              <w:jc w:val="center"/>
              <w:rPr>
                <w:rFonts w:cs="Times New Roman"/>
                <w:sz w:val="14"/>
              </w:rPr>
            </w:pPr>
          </w:p>
        </w:tc>
        <w:tc>
          <w:tcPr>
            <w:tcW w:w="1700" w:type="pct"/>
          </w:tcPr>
          <w:p w14:paraId="1B817410" w14:textId="77777777" w:rsidR="00632449" w:rsidRPr="00C138DE" w:rsidRDefault="00632449" w:rsidP="00975567">
            <w:pPr>
              <w:pStyle w:val="TableParagraph"/>
              <w:ind w:left="33"/>
              <w:jc w:val="center"/>
              <w:rPr>
                <w:rFonts w:cs="Times New Roman"/>
                <w:sz w:val="14"/>
              </w:rPr>
            </w:pPr>
            <w:r w:rsidRPr="00C138DE">
              <w:rPr>
                <w:sz w:val="14"/>
                <w:szCs w:val="14"/>
              </w:rPr>
              <w:t xml:space="preserve">Universitas Pembangunan Nasional Veteran </w:t>
            </w:r>
            <w:proofErr w:type="spellStart"/>
            <w:r w:rsidRPr="00C138DE">
              <w:rPr>
                <w:sz w:val="14"/>
                <w:szCs w:val="14"/>
              </w:rPr>
              <w:t>Jawa</w:t>
            </w:r>
            <w:proofErr w:type="spellEnd"/>
            <w:r w:rsidRPr="00C138DE">
              <w:rPr>
                <w:sz w:val="14"/>
                <w:szCs w:val="14"/>
              </w:rPr>
              <w:t xml:space="preserve"> Timur, Surabaya</w:t>
            </w:r>
            <w:r w:rsidRPr="00C138DE">
              <w:rPr>
                <w:rFonts w:cs="Times New Roman"/>
                <w:sz w:val="14"/>
              </w:rPr>
              <w:t xml:space="preserve">, </w:t>
            </w:r>
          </w:p>
          <w:p w14:paraId="504E4CB9" w14:textId="77777777" w:rsidR="00632449" w:rsidRPr="00C138DE" w:rsidRDefault="00632449" w:rsidP="00975567">
            <w:pPr>
              <w:pStyle w:val="TableParagraph"/>
              <w:jc w:val="center"/>
              <w:rPr>
                <w:sz w:val="14"/>
                <w:szCs w:val="14"/>
              </w:rPr>
            </w:pPr>
            <w:r w:rsidRPr="00C138DE">
              <w:rPr>
                <w:sz w:val="14"/>
                <w:szCs w:val="14"/>
              </w:rPr>
              <w:t>Indonesia</w:t>
            </w:r>
          </w:p>
        </w:tc>
      </w:tr>
    </w:tbl>
    <w:p w14:paraId="6539B51D" w14:textId="77777777" w:rsidR="00C317C4" w:rsidRPr="00C138DE" w:rsidRDefault="00C317C4" w:rsidP="00C317C4">
      <w:pPr>
        <w:pStyle w:val="Heading1"/>
        <w:keepNext w:val="0"/>
        <w:keepLines w:val="0"/>
        <w:spacing w:before="0" w:after="0"/>
        <w:ind w:right="283"/>
        <w:rPr>
          <w:rFonts w:ascii="Cambria" w:eastAsia="Cambria" w:hAnsi="Cambria" w:cs="Times New Roman"/>
          <w:b/>
          <w:bCs/>
          <w:color w:val="auto"/>
          <w:spacing w:val="-2"/>
          <w:sz w:val="22"/>
          <w:szCs w:val="22"/>
        </w:rPr>
      </w:pP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8"/>
        <w:gridCol w:w="283"/>
        <w:gridCol w:w="5856"/>
      </w:tblGrid>
      <w:tr w:rsidR="00C317C4" w:rsidRPr="00C138DE" w14:paraId="3B128554" w14:textId="77777777" w:rsidTr="00930D29">
        <w:tc>
          <w:tcPr>
            <w:tcW w:w="2938" w:type="dxa"/>
            <w:tcBorders>
              <w:top w:val="single" w:sz="4" w:space="0" w:color="auto"/>
              <w:bottom w:val="single" w:sz="4" w:space="0" w:color="auto"/>
            </w:tcBorders>
          </w:tcPr>
          <w:p w14:paraId="71E6159D" w14:textId="77777777" w:rsidR="00C317C4" w:rsidRPr="00C138DE" w:rsidRDefault="00C317C4" w:rsidP="002768A6">
            <w:pPr>
              <w:tabs>
                <w:tab w:val="center" w:pos="4680"/>
                <w:tab w:val="right" w:pos="9360"/>
              </w:tabs>
              <w:rPr>
                <w:b/>
                <w:bCs/>
                <w:sz w:val="14"/>
                <w:szCs w:val="14"/>
              </w:rPr>
            </w:pPr>
            <w:r w:rsidRPr="00C138DE">
              <w:rPr>
                <w:b/>
                <w:bCs/>
                <w:sz w:val="14"/>
                <w:szCs w:val="14"/>
              </w:rPr>
              <w:t xml:space="preserve">*Corresponding author: </w:t>
            </w:r>
          </w:p>
          <w:p w14:paraId="431CBE37" w14:textId="77777777" w:rsidR="00632449" w:rsidRPr="00C138DE" w:rsidRDefault="00632449" w:rsidP="00632449">
            <w:pPr>
              <w:tabs>
                <w:tab w:val="center" w:pos="4680"/>
                <w:tab w:val="right" w:pos="9360"/>
              </w:tabs>
              <w:rPr>
                <w:sz w:val="14"/>
                <w:szCs w:val="14"/>
                <w:lang w:val="pt-BR"/>
              </w:rPr>
            </w:pPr>
            <w:r w:rsidRPr="00C138DE">
              <w:rPr>
                <w:sz w:val="14"/>
                <w:szCs w:val="14"/>
              </w:rPr>
              <w:t xml:space="preserve">Laurentius Johan </w:t>
            </w:r>
            <w:proofErr w:type="spellStart"/>
            <w:r w:rsidRPr="00C138DE">
              <w:rPr>
                <w:sz w:val="14"/>
                <w:szCs w:val="14"/>
              </w:rPr>
              <w:t>Ardian</w:t>
            </w:r>
            <w:proofErr w:type="spellEnd"/>
            <w:r w:rsidRPr="00C138DE">
              <w:rPr>
                <w:sz w:val="14"/>
                <w:szCs w:val="14"/>
              </w:rPr>
              <w:t xml:space="preserve">, Universitas Pembangunan Nasional Veteran </w:t>
            </w:r>
            <w:proofErr w:type="spellStart"/>
            <w:r w:rsidRPr="00C138DE">
              <w:rPr>
                <w:sz w:val="14"/>
                <w:szCs w:val="14"/>
              </w:rPr>
              <w:t>Jawa</w:t>
            </w:r>
            <w:proofErr w:type="spellEnd"/>
            <w:r w:rsidRPr="00C138DE">
              <w:rPr>
                <w:sz w:val="14"/>
                <w:szCs w:val="14"/>
              </w:rPr>
              <w:t xml:space="preserve"> Timur, Surabaya, </w:t>
            </w:r>
            <w:r w:rsidRPr="00C138DE">
              <w:rPr>
                <w:sz w:val="14"/>
                <w:szCs w:val="14"/>
                <w:lang w:val="en-ID"/>
              </w:rPr>
              <w:t xml:space="preserve">Indonesia. </w:t>
            </w:r>
            <w:r w:rsidRPr="00C138DE">
              <w:rPr>
                <w:rFonts w:ascii="Segoe UI Symbol" w:eastAsia="Wingdings" w:hAnsi="Segoe UI Symbol" w:cs="Segoe UI Symbol"/>
                <w:sz w:val="14"/>
                <w:szCs w:val="14"/>
              </w:rPr>
              <w:t>🖂</w:t>
            </w:r>
            <w:r w:rsidRPr="00C138DE">
              <w:rPr>
                <w:sz w:val="14"/>
                <w:szCs w:val="14"/>
                <w:lang w:val="pt-BR"/>
              </w:rPr>
              <w:t>laurentius.johan.ardian.fk@upnjatim.ac.id</w:t>
            </w:r>
          </w:p>
          <w:p w14:paraId="58618B5B" w14:textId="77777777" w:rsidR="00C317C4" w:rsidRPr="00C138DE" w:rsidRDefault="00C317C4" w:rsidP="002768A6">
            <w:pPr>
              <w:tabs>
                <w:tab w:val="center" w:pos="4680"/>
                <w:tab w:val="right" w:pos="9360"/>
              </w:tabs>
              <w:rPr>
                <w:lang w:val="en-ID"/>
              </w:rPr>
            </w:pPr>
          </w:p>
        </w:tc>
        <w:tc>
          <w:tcPr>
            <w:tcW w:w="283" w:type="dxa"/>
          </w:tcPr>
          <w:p w14:paraId="312C0903" w14:textId="77777777" w:rsidR="00C317C4" w:rsidRPr="00C138DE" w:rsidRDefault="00C317C4" w:rsidP="002768A6">
            <w:pPr>
              <w:pStyle w:val="Heading1"/>
              <w:keepNext w:val="0"/>
              <w:keepLines w:val="0"/>
              <w:spacing w:before="0" w:after="0"/>
              <w:ind w:right="283"/>
              <w:jc w:val="center"/>
              <w:rPr>
                <w:rFonts w:ascii="Cambria" w:eastAsia="Cambria" w:hAnsi="Cambria" w:cs="Times New Roman"/>
                <w:b/>
                <w:bCs/>
                <w:color w:val="auto"/>
                <w:spacing w:val="-2"/>
                <w:sz w:val="18"/>
                <w:szCs w:val="18"/>
                <w:lang w:val="en-ID"/>
              </w:rPr>
            </w:pPr>
          </w:p>
        </w:tc>
        <w:tc>
          <w:tcPr>
            <w:tcW w:w="5856" w:type="dxa"/>
            <w:tcBorders>
              <w:left w:val="nil"/>
              <w:bottom w:val="single" w:sz="4" w:space="0" w:color="auto"/>
            </w:tcBorders>
          </w:tcPr>
          <w:p w14:paraId="01628199" w14:textId="77777777" w:rsidR="00C317C4" w:rsidRPr="00C138DE" w:rsidRDefault="00C317C4" w:rsidP="002768A6">
            <w:pPr>
              <w:pStyle w:val="Heading1"/>
              <w:keepNext w:val="0"/>
              <w:keepLines w:val="0"/>
              <w:spacing w:before="0" w:after="0"/>
              <w:ind w:right="283"/>
              <w:jc w:val="center"/>
              <w:rPr>
                <w:rFonts w:ascii="Cambria" w:hAnsi="Cambria"/>
                <w:b/>
                <w:color w:val="auto"/>
                <w:spacing w:val="-2"/>
                <w:sz w:val="18"/>
                <w:szCs w:val="18"/>
                <w:lang w:val="en-ID"/>
              </w:rPr>
            </w:pPr>
          </w:p>
        </w:tc>
      </w:tr>
      <w:tr w:rsidR="00C317C4" w:rsidRPr="00C138DE" w14:paraId="678C2628" w14:textId="77777777" w:rsidTr="00930D29">
        <w:tc>
          <w:tcPr>
            <w:tcW w:w="2938" w:type="dxa"/>
            <w:tcBorders>
              <w:top w:val="single" w:sz="4" w:space="0" w:color="auto"/>
              <w:bottom w:val="single" w:sz="4" w:space="0" w:color="auto"/>
            </w:tcBorders>
          </w:tcPr>
          <w:p w14:paraId="5091AA94" w14:textId="1FCA51C7" w:rsidR="00C317C4" w:rsidRPr="00C138DE" w:rsidRDefault="00C317C4" w:rsidP="002768A6">
            <w:pPr>
              <w:pStyle w:val="Heading1"/>
              <w:keepNext w:val="0"/>
              <w:keepLines w:val="0"/>
              <w:spacing w:before="0" w:after="0"/>
              <w:ind w:right="283"/>
              <w:rPr>
                <w:rFonts w:ascii="Cambria" w:eastAsia="Cambria" w:hAnsi="Cambria" w:cs="Times New Roman"/>
                <w:b/>
                <w:bCs/>
                <w:color w:val="auto"/>
                <w:spacing w:val="-2"/>
                <w:sz w:val="18"/>
                <w:szCs w:val="18"/>
              </w:rPr>
            </w:pPr>
            <w:r w:rsidRPr="00C138DE">
              <w:rPr>
                <w:rFonts w:ascii="Cambria" w:hAnsi="Cambria"/>
                <w:b/>
                <w:color w:val="auto"/>
                <w:sz w:val="18"/>
                <w:szCs w:val="18"/>
              </w:rPr>
              <w:t>Article</w:t>
            </w:r>
            <w:r w:rsidRPr="00C138DE">
              <w:rPr>
                <w:rFonts w:ascii="Cambria" w:hAnsi="Cambria"/>
                <w:b/>
                <w:color w:val="auto"/>
                <w:spacing w:val="1"/>
                <w:sz w:val="18"/>
                <w:szCs w:val="18"/>
              </w:rPr>
              <w:t xml:space="preserve"> </w:t>
            </w:r>
            <w:r w:rsidRPr="00C138DE">
              <w:rPr>
                <w:rFonts w:ascii="Cambria" w:hAnsi="Cambria"/>
                <w:b/>
                <w:color w:val="auto"/>
                <w:spacing w:val="-4"/>
                <w:sz w:val="18"/>
                <w:szCs w:val="18"/>
              </w:rPr>
              <w:t>Info:</w:t>
            </w:r>
          </w:p>
        </w:tc>
        <w:tc>
          <w:tcPr>
            <w:tcW w:w="283" w:type="dxa"/>
          </w:tcPr>
          <w:p w14:paraId="7F49C482" w14:textId="77777777" w:rsidR="00C317C4" w:rsidRPr="00C138DE" w:rsidRDefault="00C317C4" w:rsidP="002768A6">
            <w:pPr>
              <w:pStyle w:val="Heading1"/>
              <w:keepNext w:val="0"/>
              <w:keepLines w:val="0"/>
              <w:spacing w:before="0" w:after="0"/>
              <w:ind w:right="283"/>
              <w:jc w:val="center"/>
              <w:rPr>
                <w:rFonts w:ascii="Cambria" w:eastAsia="Cambria" w:hAnsi="Cambria" w:cs="Times New Roman"/>
                <w:b/>
                <w:bCs/>
                <w:color w:val="auto"/>
                <w:spacing w:val="-2"/>
                <w:sz w:val="18"/>
                <w:szCs w:val="18"/>
              </w:rPr>
            </w:pPr>
          </w:p>
        </w:tc>
        <w:tc>
          <w:tcPr>
            <w:tcW w:w="5856" w:type="dxa"/>
            <w:tcBorders>
              <w:top w:val="single" w:sz="4" w:space="0" w:color="auto"/>
              <w:left w:val="nil"/>
              <w:bottom w:val="single" w:sz="4" w:space="0" w:color="auto"/>
            </w:tcBorders>
          </w:tcPr>
          <w:p w14:paraId="4C0499C6" w14:textId="77777777" w:rsidR="00C317C4" w:rsidRPr="00C138DE" w:rsidRDefault="00C317C4" w:rsidP="002768A6">
            <w:pPr>
              <w:pStyle w:val="Heading1"/>
              <w:keepNext w:val="0"/>
              <w:keepLines w:val="0"/>
              <w:spacing w:before="0" w:after="0"/>
              <w:ind w:right="283"/>
              <w:jc w:val="center"/>
              <w:rPr>
                <w:rFonts w:ascii="Cambria" w:eastAsia="Cambria" w:hAnsi="Cambria" w:cs="Times New Roman"/>
                <w:b/>
                <w:bCs/>
                <w:color w:val="auto"/>
                <w:spacing w:val="-2"/>
                <w:sz w:val="18"/>
                <w:szCs w:val="18"/>
              </w:rPr>
            </w:pPr>
            <w:r w:rsidRPr="00C138DE">
              <w:rPr>
                <w:rFonts w:ascii="Cambria" w:hAnsi="Cambria"/>
                <w:b/>
                <w:color w:val="auto"/>
                <w:spacing w:val="-2"/>
                <w:sz w:val="18"/>
                <w:szCs w:val="18"/>
              </w:rPr>
              <w:t>Abstract</w:t>
            </w:r>
          </w:p>
        </w:tc>
      </w:tr>
      <w:tr w:rsidR="00C317C4" w:rsidRPr="00C138DE" w14:paraId="0266377E" w14:textId="77777777" w:rsidTr="00930D29">
        <w:trPr>
          <w:trHeight w:val="1262"/>
        </w:trPr>
        <w:tc>
          <w:tcPr>
            <w:tcW w:w="2938" w:type="dxa"/>
            <w:tcBorders>
              <w:top w:val="single" w:sz="4" w:space="0" w:color="auto"/>
            </w:tcBorders>
          </w:tcPr>
          <w:p w14:paraId="06A0B596" w14:textId="77777777" w:rsidR="00C317C4" w:rsidRPr="00C138DE" w:rsidRDefault="00C317C4" w:rsidP="002768A6">
            <w:pPr>
              <w:pStyle w:val="TableParagraph"/>
              <w:rPr>
                <w:b/>
                <w:iCs/>
                <w:sz w:val="18"/>
                <w:szCs w:val="18"/>
              </w:rPr>
            </w:pPr>
            <w:r w:rsidRPr="00C138DE">
              <w:rPr>
                <w:b/>
                <w:i/>
                <w:sz w:val="18"/>
                <w:szCs w:val="18"/>
              </w:rPr>
              <w:t>Article</w:t>
            </w:r>
            <w:r w:rsidRPr="00C138DE">
              <w:rPr>
                <w:b/>
                <w:i/>
                <w:spacing w:val="-5"/>
                <w:sz w:val="18"/>
                <w:szCs w:val="18"/>
              </w:rPr>
              <w:t xml:space="preserve"> </w:t>
            </w:r>
            <w:r w:rsidRPr="00C138DE">
              <w:rPr>
                <w:b/>
                <w:i/>
                <w:spacing w:val="-2"/>
                <w:sz w:val="18"/>
                <w:szCs w:val="18"/>
              </w:rPr>
              <w:t>history</w:t>
            </w:r>
            <w:r w:rsidRPr="00C138DE">
              <w:rPr>
                <w:b/>
                <w:iCs/>
                <w:spacing w:val="-2"/>
                <w:sz w:val="18"/>
                <w:szCs w:val="18"/>
              </w:rPr>
              <w:t>:</w:t>
            </w:r>
          </w:p>
          <w:p w14:paraId="5E62E1EE" w14:textId="744790B3" w:rsidR="00C317C4" w:rsidRPr="00C138DE" w:rsidRDefault="00C317C4" w:rsidP="002768A6">
            <w:pPr>
              <w:pStyle w:val="TableParagraph"/>
              <w:rPr>
                <w:iCs/>
                <w:sz w:val="18"/>
                <w:szCs w:val="18"/>
              </w:rPr>
            </w:pPr>
            <w:r w:rsidRPr="00C138DE">
              <w:rPr>
                <w:iCs/>
                <w:sz w:val="18"/>
                <w:szCs w:val="18"/>
              </w:rPr>
              <w:t>Received:</w:t>
            </w:r>
            <w:r w:rsidRPr="00C138DE">
              <w:rPr>
                <w:iCs/>
                <w:spacing w:val="-3"/>
                <w:sz w:val="18"/>
                <w:szCs w:val="18"/>
              </w:rPr>
              <w:t xml:space="preserve"> </w:t>
            </w:r>
            <w:r w:rsidR="00462224" w:rsidRPr="00C138DE">
              <w:rPr>
                <w:iCs/>
                <w:sz w:val="18"/>
                <w:szCs w:val="18"/>
              </w:rPr>
              <w:t xml:space="preserve">April </w:t>
            </w:r>
            <w:r w:rsidR="00462224" w:rsidRPr="00C138DE">
              <w:rPr>
                <w:iCs/>
                <w:spacing w:val="-4"/>
                <w:sz w:val="18"/>
                <w:szCs w:val="18"/>
              </w:rPr>
              <w:t>24</w:t>
            </w:r>
            <w:r w:rsidRPr="00C138DE">
              <w:rPr>
                <w:iCs/>
                <w:sz w:val="18"/>
                <w:szCs w:val="18"/>
              </w:rPr>
              <w:t>,</w:t>
            </w:r>
            <w:r w:rsidRPr="00C138DE">
              <w:rPr>
                <w:iCs/>
                <w:spacing w:val="-2"/>
                <w:sz w:val="18"/>
                <w:szCs w:val="18"/>
              </w:rPr>
              <w:t xml:space="preserve"> </w:t>
            </w:r>
            <w:r w:rsidRPr="00C138DE">
              <w:rPr>
                <w:iCs/>
                <w:spacing w:val="-4"/>
                <w:sz w:val="18"/>
                <w:szCs w:val="18"/>
              </w:rPr>
              <w:t>2026</w:t>
            </w:r>
          </w:p>
          <w:p w14:paraId="12824845" w14:textId="2F18643B" w:rsidR="00C317C4" w:rsidRPr="00C138DE" w:rsidRDefault="00C317C4" w:rsidP="002768A6">
            <w:pPr>
              <w:pStyle w:val="TableParagraph"/>
              <w:rPr>
                <w:iCs/>
                <w:sz w:val="18"/>
                <w:szCs w:val="18"/>
              </w:rPr>
            </w:pPr>
            <w:r w:rsidRPr="00C138DE">
              <w:rPr>
                <w:iCs/>
                <w:sz w:val="18"/>
                <w:szCs w:val="18"/>
              </w:rPr>
              <w:t>Revised:</w:t>
            </w:r>
            <w:r w:rsidRPr="00C138DE">
              <w:rPr>
                <w:iCs/>
                <w:spacing w:val="-3"/>
                <w:sz w:val="18"/>
                <w:szCs w:val="18"/>
              </w:rPr>
              <w:t xml:space="preserve"> </w:t>
            </w:r>
            <w:r w:rsidR="00462224" w:rsidRPr="00C138DE">
              <w:rPr>
                <w:iCs/>
                <w:sz w:val="18"/>
                <w:szCs w:val="18"/>
              </w:rPr>
              <w:t xml:space="preserve">June </w:t>
            </w:r>
            <w:r w:rsidR="00462224" w:rsidRPr="00C138DE">
              <w:rPr>
                <w:iCs/>
                <w:spacing w:val="-4"/>
                <w:sz w:val="18"/>
                <w:szCs w:val="18"/>
              </w:rPr>
              <w:t>11</w:t>
            </w:r>
            <w:r w:rsidRPr="00C138DE">
              <w:rPr>
                <w:iCs/>
                <w:sz w:val="18"/>
                <w:szCs w:val="18"/>
              </w:rPr>
              <w:t>,</w:t>
            </w:r>
            <w:r w:rsidRPr="00C138DE">
              <w:rPr>
                <w:iCs/>
                <w:spacing w:val="-2"/>
                <w:sz w:val="18"/>
                <w:szCs w:val="18"/>
              </w:rPr>
              <w:t xml:space="preserve"> </w:t>
            </w:r>
            <w:r w:rsidRPr="00C138DE">
              <w:rPr>
                <w:iCs/>
                <w:spacing w:val="-4"/>
                <w:sz w:val="18"/>
                <w:szCs w:val="18"/>
              </w:rPr>
              <w:t>2026</w:t>
            </w:r>
          </w:p>
          <w:p w14:paraId="2B1B4C9E" w14:textId="696D813D" w:rsidR="00C317C4" w:rsidRPr="00C138DE" w:rsidRDefault="00C317C4" w:rsidP="002768A6">
            <w:pPr>
              <w:pStyle w:val="TableParagraph"/>
              <w:rPr>
                <w:b/>
                <w:iCs/>
                <w:sz w:val="18"/>
                <w:szCs w:val="18"/>
              </w:rPr>
            </w:pPr>
            <w:r w:rsidRPr="00C138DE">
              <w:rPr>
                <w:iCs/>
                <w:spacing w:val="-4"/>
                <w:sz w:val="18"/>
                <w:szCs w:val="18"/>
              </w:rPr>
              <w:t xml:space="preserve">Accepted: </w:t>
            </w:r>
            <w:r w:rsidR="00462224" w:rsidRPr="00C138DE">
              <w:rPr>
                <w:iCs/>
                <w:spacing w:val="-4"/>
                <w:sz w:val="18"/>
                <w:szCs w:val="18"/>
              </w:rPr>
              <w:t>June 15</w:t>
            </w:r>
            <w:r w:rsidRPr="00C138DE">
              <w:rPr>
                <w:iCs/>
                <w:spacing w:val="-4"/>
                <w:sz w:val="18"/>
                <w:szCs w:val="18"/>
              </w:rPr>
              <w:t>, 2026</w:t>
            </w:r>
          </w:p>
        </w:tc>
        <w:tc>
          <w:tcPr>
            <w:tcW w:w="283" w:type="dxa"/>
            <w:tcBorders>
              <w:left w:val="nil"/>
            </w:tcBorders>
          </w:tcPr>
          <w:p w14:paraId="51572329" w14:textId="77777777" w:rsidR="00C317C4" w:rsidRPr="00C138DE" w:rsidRDefault="00C317C4" w:rsidP="002768A6">
            <w:pPr>
              <w:pStyle w:val="Heading1"/>
              <w:keepNext w:val="0"/>
              <w:keepLines w:val="0"/>
              <w:spacing w:before="0" w:after="0"/>
              <w:ind w:right="283"/>
              <w:jc w:val="center"/>
              <w:rPr>
                <w:rFonts w:ascii="Cambria" w:eastAsia="Cambria" w:hAnsi="Cambria" w:cs="Times New Roman"/>
                <w:b/>
                <w:bCs/>
                <w:iCs/>
                <w:color w:val="auto"/>
                <w:spacing w:val="-2"/>
                <w:sz w:val="18"/>
                <w:szCs w:val="18"/>
              </w:rPr>
            </w:pPr>
          </w:p>
        </w:tc>
        <w:tc>
          <w:tcPr>
            <w:tcW w:w="5856" w:type="dxa"/>
            <w:vMerge w:val="restart"/>
            <w:tcBorders>
              <w:top w:val="single" w:sz="4" w:space="0" w:color="auto"/>
            </w:tcBorders>
          </w:tcPr>
          <w:p w14:paraId="33E4264C" w14:textId="77777777" w:rsidR="00DB3529" w:rsidRPr="00C138DE" w:rsidRDefault="00DB3529" w:rsidP="00DB3529">
            <w:pPr>
              <w:pStyle w:val="NormalWeb"/>
              <w:spacing w:before="0" w:beforeAutospacing="0" w:after="0" w:afterAutospacing="0"/>
              <w:jc w:val="both"/>
              <w:rPr>
                <w:rFonts w:ascii="Cambria" w:hAnsi="Cambria"/>
                <w:sz w:val="18"/>
                <w:szCs w:val="18"/>
                <w:lang w:val="en-GB"/>
              </w:rPr>
            </w:pPr>
            <w:r w:rsidRPr="00C138DE">
              <w:rPr>
                <w:rFonts w:ascii="Cambria" w:hAnsi="Cambria"/>
                <w:b/>
                <w:bCs/>
                <w:sz w:val="18"/>
                <w:szCs w:val="18"/>
              </w:rPr>
              <w:t>Background:</w:t>
            </w:r>
            <w:r w:rsidRPr="00C138DE">
              <w:rPr>
                <w:rFonts w:ascii="Cambria" w:hAnsi="Cambria"/>
                <w:sz w:val="18"/>
                <w:szCs w:val="18"/>
              </w:rPr>
              <w:t xml:space="preserve"> Recent clinical investigations have drawn attention to cognitive frailty as a composite syndrome that occurs with increasing frequency in populations affected by chronic metabolic disorders, most notably type 2 diabetes mellitus. Despite this recognition, empirical data characterizing its prevalence and predisposing determinants among younger, community-dwelling adults with diabetes remain insufficient.</w:t>
            </w:r>
          </w:p>
          <w:p w14:paraId="529DEFE0" w14:textId="77777777" w:rsidR="00DB3529" w:rsidRPr="00C138DE" w:rsidRDefault="00DB3529" w:rsidP="00DB3529">
            <w:pPr>
              <w:pStyle w:val="NormalWeb"/>
              <w:spacing w:before="0" w:beforeAutospacing="0" w:after="0" w:afterAutospacing="0"/>
              <w:jc w:val="both"/>
              <w:rPr>
                <w:rFonts w:ascii="Cambria" w:hAnsi="Cambria"/>
                <w:sz w:val="18"/>
                <w:szCs w:val="18"/>
              </w:rPr>
            </w:pPr>
            <w:r w:rsidRPr="00C138DE">
              <w:rPr>
                <w:rFonts w:ascii="Cambria" w:hAnsi="Cambria"/>
                <w:b/>
                <w:bCs/>
                <w:sz w:val="18"/>
                <w:szCs w:val="18"/>
              </w:rPr>
              <w:t>Objective:</w:t>
            </w:r>
            <w:r w:rsidRPr="00C138DE">
              <w:rPr>
                <w:rFonts w:ascii="Cambria" w:hAnsi="Cambria"/>
                <w:sz w:val="18"/>
                <w:szCs w:val="18"/>
              </w:rPr>
              <w:t xml:space="preserve"> The aim of this investigation was to determine whether sarcopenia independently contributes to the occurrence of cognitive frailty in adults with diabetes managed within the primary care system.</w:t>
            </w:r>
          </w:p>
          <w:p w14:paraId="10083C0B" w14:textId="77777777" w:rsidR="00DB3529" w:rsidRPr="00C138DE" w:rsidRDefault="00DB3529" w:rsidP="00DB3529">
            <w:pPr>
              <w:pStyle w:val="NormalWeb"/>
              <w:spacing w:before="0" w:beforeAutospacing="0" w:after="0" w:afterAutospacing="0"/>
              <w:jc w:val="both"/>
              <w:rPr>
                <w:rFonts w:ascii="Cambria" w:hAnsi="Cambria"/>
                <w:sz w:val="18"/>
                <w:szCs w:val="18"/>
              </w:rPr>
            </w:pPr>
            <w:r w:rsidRPr="00C138DE">
              <w:rPr>
                <w:rFonts w:ascii="Cambria" w:hAnsi="Cambria"/>
                <w:b/>
                <w:bCs/>
                <w:sz w:val="18"/>
                <w:szCs w:val="18"/>
              </w:rPr>
              <w:t>Methods:</w:t>
            </w:r>
            <w:r w:rsidRPr="00C138DE">
              <w:rPr>
                <w:rFonts w:ascii="Cambria" w:hAnsi="Cambria"/>
                <w:sz w:val="18"/>
                <w:szCs w:val="18"/>
              </w:rPr>
              <w:t xml:space="preserve"> Adopting a cross-sectional design, the study recruited 281 adults living with diabetes from two community-based health facilities. The Mini-Mental State Examination (MMSE) served as the primary cognitive assessment tool, and the SARC-F questionnaire—a validated self-report screening instrument rather than a direct physiological measure of muscle mass or handgrip strength—was used to assess sarcopenia risk. Chi-square analysis tested bivariate associations, and adjusted prevalence ratios (PRs) were computed using modified Poisson regression with robust variance, an approach suited for cross-sectional data in which outcomes are not rare.</w:t>
            </w:r>
          </w:p>
          <w:p w14:paraId="26F43968" w14:textId="77777777" w:rsidR="00DB3529" w:rsidRPr="00C138DE" w:rsidRDefault="00DB3529" w:rsidP="00DB3529">
            <w:pPr>
              <w:pStyle w:val="NormalWeb"/>
              <w:spacing w:before="0" w:beforeAutospacing="0" w:after="0" w:afterAutospacing="0"/>
              <w:jc w:val="both"/>
              <w:rPr>
                <w:rFonts w:ascii="Cambria" w:hAnsi="Cambria"/>
                <w:sz w:val="18"/>
                <w:szCs w:val="18"/>
              </w:rPr>
            </w:pPr>
            <w:r w:rsidRPr="00C138DE">
              <w:rPr>
                <w:rFonts w:ascii="Cambria" w:hAnsi="Cambria"/>
                <w:b/>
                <w:bCs/>
                <w:sz w:val="18"/>
                <w:szCs w:val="18"/>
              </w:rPr>
              <w:t>Results:</w:t>
            </w:r>
            <w:r w:rsidRPr="00C138DE">
              <w:rPr>
                <w:rFonts w:ascii="Cambria" w:hAnsi="Cambria"/>
                <w:sz w:val="18"/>
                <w:szCs w:val="18"/>
              </w:rPr>
              <w:t xml:space="preserve"> The overall prevalence of cognitive frailty in the study cohort was 3.2%. In multivariate models, sarcopenia was associated with a significantly higher likelihood of cognitive frailty (adjusted PR = 6.84; 95% CI: 1.55–30.19).</w:t>
            </w:r>
          </w:p>
          <w:p w14:paraId="5993490C" w14:textId="1D829DC6" w:rsidR="00C317C4" w:rsidRPr="00C138DE" w:rsidRDefault="00DB3529" w:rsidP="00DB3529">
            <w:pPr>
              <w:pStyle w:val="NormalWeb"/>
              <w:spacing w:before="0" w:beforeAutospacing="0" w:after="0" w:afterAutospacing="0"/>
              <w:jc w:val="both"/>
              <w:rPr>
                <w:rFonts w:ascii="Cambria" w:hAnsi="Cambria"/>
                <w:sz w:val="18"/>
                <w:szCs w:val="18"/>
              </w:rPr>
            </w:pPr>
            <w:r w:rsidRPr="00C138DE">
              <w:rPr>
                <w:rFonts w:ascii="Cambria" w:hAnsi="Cambria"/>
                <w:b/>
                <w:bCs/>
                <w:sz w:val="18"/>
                <w:szCs w:val="18"/>
              </w:rPr>
              <w:t>Conclusion:</w:t>
            </w:r>
            <w:r w:rsidRPr="00C138DE">
              <w:rPr>
                <w:rFonts w:ascii="Cambria" w:hAnsi="Cambria"/>
                <w:sz w:val="18"/>
                <w:szCs w:val="18"/>
              </w:rPr>
              <w:t xml:space="preserve"> Sarcopenia is a clinically meaningful, independent risk factor for cognitive frailty in community-dwelling adults with diabetes. Integrating parallel assessments of sarcopenia and cognitive function into routine primary care diabetes management may improve early detection and help reduce downstream adverse health outcomes.</w:t>
            </w:r>
          </w:p>
        </w:tc>
      </w:tr>
      <w:tr w:rsidR="00C317C4" w:rsidRPr="00C138DE" w14:paraId="3B7B8926" w14:textId="77777777" w:rsidTr="00930D29">
        <w:trPr>
          <w:trHeight w:val="136"/>
        </w:trPr>
        <w:tc>
          <w:tcPr>
            <w:tcW w:w="2938" w:type="dxa"/>
            <w:tcBorders>
              <w:bottom w:val="single" w:sz="4" w:space="0" w:color="auto"/>
            </w:tcBorders>
          </w:tcPr>
          <w:p w14:paraId="266B7FFE" w14:textId="77777777" w:rsidR="00C317C4" w:rsidRPr="00C138DE" w:rsidRDefault="00C317C4" w:rsidP="002768A6">
            <w:pPr>
              <w:pStyle w:val="TableParagraph"/>
              <w:rPr>
                <w:b/>
                <w:iCs/>
                <w:spacing w:val="-2"/>
                <w:sz w:val="18"/>
                <w:szCs w:val="18"/>
              </w:rPr>
            </w:pPr>
          </w:p>
        </w:tc>
        <w:tc>
          <w:tcPr>
            <w:tcW w:w="283" w:type="dxa"/>
          </w:tcPr>
          <w:p w14:paraId="0519F4FE" w14:textId="77777777" w:rsidR="00C317C4" w:rsidRPr="00C138DE" w:rsidRDefault="00C317C4" w:rsidP="002768A6">
            <w:pPr>
              <w:pStyle w:val="Heading1"/>
              <w:keepNext w:val="0"/>
              <w:keepLines w:val="0"/>
              <w:spacing w:before="0" w:after="0"/>
              <w:ind w:right="283"/>
              <w:jc w:val="center"/>
              <w:rPr>
                <w:rFonts w:ascii="Cambria" w:eastAsia="Cambria" w:hAnsi="Cambria" w:cs="Times New Roman"/>
                <w:b/>
                <w:bCs/>
                <w:iCs/>
                <w:color w:val="auto"/>
                <w:spacing w:val="-2"/>
                <w:sz w:val="18"/>
                <w:szCs w:val="18"/>
              </w:rPr>
            </w:pPr>
          </w:p>
        </w:tc>
        <w:tc>
          <w:tcPr>
            <w:tcW w:w="5856" w:type="dxa"/>
            <w:vMerge/>
            <w:tcBorders>
              <w:top w:val="single" w:sz="4" w:space="0" w:color="auto"/>
            </w:tcBorders>
          </w:tcPr>
          <w:p w14:paraId="4FD863DA" w14:textId="77777777" w:rsidR="00C317C4" w:rsidRPr="00C138DE" w:rsidRDefault="00C317C4" w:rsidP="002768A6">
            <w:pPr>
              <w:pStyle w:val="TableParagraph"/>
              <w:ind w:right="113"/>
              <w:jc w:val="both"/>
              <w:rPr>
                <w:bCs/>
                <w:iCs/>
                <w:sz w:val="18"/>
                <w:szCs w:val="18"/>
              </w:rPr>
            </w:pPr>
          </w:p>
        </w:tc>
      </w:tr>
      <w:tr w:rsidR="00C317C4" w:rsidRPr="00C138DE" w14:paraId="1B8F56B1" w14:textId="77777777" w:rsidTr="00930D29">
        <w:trPr>
          <w:trHeight w:val="1262"/>
        </w:trPr>
        <w:tc>
          <w:tcPr>
            <w:tcW w:w="2938" w:type="dxa"/>
            <w:vMerge w:val="restart"/>
            <w:tcBorders>
              <w:top w:val="single" w:sz="4" w:space="0" w:color="auto"/>
            </w:tcBorders>
          </w:tcPr>
          <w:p w14:paraId="0D494050" w14:textId="77777777" w:rsidR="00C317C4" w:rsidRPr="00C138DE" w:rsidRDefault="00C317C4" w:rsidP="002768A6">
            <w:pPr>
              <w:pStyle w:val="TableParagraph"/>
              <w:ind w:right="121"/>
              <w:rPr>
                <w:iCs/>
                <w:sz w:val="18"/>
                <w:szCs w:val="18"/>
              </w:rPr>
            </w:pPr>
            <w:r w:rsidRPr="00C138DE">
              <w:rPr>
                <w:b/>
                <w:i/>
                <w:spacing w:val="-2"/>
                <w:sz w:val="18"/>
                <w:szCs w:val="18"/>
              </w:rPr>
              <w:t>Keywords</w:t>
            </w:r>
            <w:r w:rsidRPr="00C138DE">
              <w:rPr>
                <w:b/>
                <w:iCs/>
                <w:spacing w:val="-2"/>
                <w:sz w:val="18"/>
                <w:szCs w:val="18"/>
              </w:rPr>
              <w:t>:</w:t>
            </w:r>
          </w:p>
          <w:p w14:paraId="449F6A9F" w14:textId="7E717C7E" w:rsidR="00C317C4" w:rsidRPr="00C138DE" w:rsidRDefault="00AE748D" w:rsidP="002768A6">
            <w:pPr>
              <w:pStyle w:val="TableParagraph"/>
              <w:rPr>
                <w:b/>
                <w:iCs/>
                <w:sz w:val="18"/>
                <w:szCs w:val="18"/>
              </w:rPr>
            </w:pPr>
            <w:r w:rsidRPr="00C138DE">
              <w:rPr>
                <w:iCs/>
                <w:sz w:val="18"/>
                <w:szCs w:val="18"/>
              </w:rPr>
              <w:t>Cognitive Frailty; Diabetes; Sarcopenia</w:t>
            </w:r>
          </w:p>
        </w:tc>
        <w:tc>
          <w:tcPr>
            <w:tcW w:w="283" w:type="dxa"/>
            <w:tcBorders>
              <w:left w:val="nil"/>
            </w:tcBorders>
          </w:tcPr>
          <w:p w14:paraId="32CA21F7" w14:textId="77777777" w:rsidR="00C317C4" w:rsidRPr="00C138DE" w:rsidRDefault="00C317C4" w:rsidP="002768A6">
            <w:pPr>
              <w:pStyle w:val="Heading1"/>
              <w:keepNext w:val="0"/>
              <w:keepLines w:val="0"/>
              <w:spacing w:before="0" w:after="0"/>
              <w:ind w:right="283"/>
              <w:jc w:val="center"/>
              <w:rPr>
                <w:rFonts w:ascii="Cambria" w:eastAsia="Cambria" w:hAnsi="Cambria" w:cs="Times New Roman"/>
                <w:b/>
                <w:bCs/>
                <w:iCs/>
                <w:color w:val="auto"/>
                <w:spacing w:val="-2"/>
                <w:sz w:val="18"/>
                <w:szCs w:val="18"/>
              </w:rPr>
            </w:pPr>
          </w:p>
        </w:tc>
        <w:tc>
          <w:tcPr>
            <w:tcW w:w="5856" w:type="dxa"/>
            <w:vMerge/>
            <w:tcBorders>
              <w:top w:val="single" w:sz="4" w:space="0" w:color="auto"/>
            </w:tcBorders>
          </w:tcPr>
          <w:p w14:paraId="0F85D028" w14:textId="77777777" w:rsidR="00C317C4" w:rsidRPr="00C138DE" w:rsidRDefault="00C317C4" w:rsidP="002768A6">
            <w:pPr>
              <w:pStyle w:val="TableParagraph"/>
              <w:ind w:right="113"/>
              <w:jc w:val="both"/>
              <w:rPr>
                <w:bCs/>
                <w:iCs/>
                <w:sz w:val="18"/>
                <w:szCs w:val="18"/>
              </w:rPr>
            </w:pPr>
          </w:p>
        </w:tc>
      </w:tr>
      <w:tr w:rsidR="00C317C4" w:rsidRPr="00C138DE" w14:paraId="5A80322C" w14:textId="77777777" w:rsidTr="00930D29">
        <w:tc>
          <w:tcPr>
            <w:tcW w:w="2938" w:type="dxa"/>
            <w:vMerge/>
          </w:tcPr>
          <w:p w14:paraId="64FD74B4" w14:textId="77777777" w:rsidR="00C317C4" w:rsidRPr="00C138DE" w:rsidRDefault="00C317C4" w:rsidP="002768A6">
            <w:pPr>
              <w:pStyle w:val="TableParagraph"/>
              <w:rPr>
                <w:b/>
                <w:i/>
                <w:sz w:val="18"/>
                <w:szCs w:val="18"/>
              </w:rPr>
            </w:pPr>
          </w:p>
        </w:tc>
        <w:tc>
          <w:tcPr>
            <w:tcW w:w="283" w:type="dxa"/>
            <w:tcBorders>
              <w:left w:val="nil"/>
            </w:tcBorders>
          </w:tcPr>
          <w:p w14:paraId="6A730444" w14:textId="77777777" w:rsidR="00C317C4" w:rsidRPr="00C138DE" w:rsidRDefault="00C317C4" w:rsidP="002768A6">
            <w:pPr>
              <w:pStyle w:val="Heading1"/>
              <w:keepNext w:val="0"/>
              <w:keepLines w:val="0"/>
              <w:spacing w:before="0" w:after="0"/>
              <w:ind w:right="283"/>
              <w:jc w:val="center"/>
              <w:rPr>
                <w:rFonts w:ascii="Cambria" w:eastAsia="Cambria" w:hAnsi="Cambria" w:cs="Times New Roman"/>
                <w:b/>
                <w:bCs/>
                <w:color w:val="auto"/>
                <w:spacing w:val="-2"/>
                <w:sz w:val="18"/>
                <w:szCs w:val="18"/>
              </w:rPr>
            </w:pPr>
          </w:p>
        </w:tc>
        <w:tc>
          <w:tcPr>
            <w:tcW w:w="5856" w:type="dxa"/>
            <w:vMerge/>
          </w:tcPr>
          <w:p w14:paraId="59778D9A" w14:textId="77777777" w:rsidR="00C317C4" w:rsidRPr="00C138DE" w:rsidRDefault="00C317C4" w:rsidP="002768A6">
            <w:pPr>
              <w:pStyle w:val="Heading1"/>
              <w:keepNext w:val="0"/>
              <w:keepLines w:val="0"/>
              <w:spacing w:before="0" w:after="0"/>
              <w:ind w:right="283"/>
              <w:jc w:val="center"/>
              <w:rPr>
                <w:rFonts w:ascii="Cambria" w:eastAsia="Cambria" w:hAnsi="Cambria" w:cs="Times New Roman"/>
                <w:b/>
                <w:bCs/>
                <w:color w:val="auto"/>
                <w:spacing w:val="-2"/>
                <w:sz w:val="18"/>
                <w:szCs w:val="18"/>
              </w:rPr>
            </w:pPr>
          </w:p>
        </w:tc>
      </w:tr>
      <w:tr w:rsidR="00C317C4" w:rsidRPr="00C138DE" w14:paraId="57DB4512" w14:textId="77777777" w:rsidTr="00930D29">
        <w:tc>
          <w:tcPr>
            <w:tcW w:w="9077" w:type="dxa"/>
            <w:gridSpan w:val="3"/>
            <w:tcBorders>
              <w:top w:val="single" w:sz="4" w:space="0" w:color="auto"/>
              <w:bottom w:val="single" w:sz="4" w:space="0" w:color="auto"/>
            </w:tcBorders>
          </w:tcPr>
          <w:p w14:paraId="0311AB0A" w14:textId="285D6269" w:rsidR="00EF3006" w:rsidRPr="00C138DE" w:rsidRDefault="00C317C4" w:rsidP="00FA20D9">
            <w:pPr>
              <w:pStyle w:val="Heading1"/>
              <w:keepNext w:val="0"/>
              <w:keepLines w:val="0"/>
              <w:spacing w:before="0" w:after="0"/>
              <w:ind w:right="-105"/>
              <w:jc w:val="both"/>
              <w:rPr>
                <w:rFonts w:ascii="Cambria" w:hAnsi="Cambria" w:cs="Times New Roman"/>
                <w:color w:val="auto"/>
                <w:sz w:val="18"/>
                <w:szCs w:val="18"/>
              </w:rPr>
            </w:pPr>
            <w:r w:rsidRPr="00C138DE">
              <w:rPr>
                <w:rFonts w:ascii="Cambria" w:hAnsi="Cambria" w:cs="Times New Roman"/>
                <w:b/>
                <w:color w:val="auto"/>
                <w:sz w:val="18"/>
                <w:szCs w:val="18"/>
              </w:rPr>
              <w:t>To</w:t>
            </w:r>
            <w:r w:rsidRPr="00C138DE">
              <w:rPr>
                <w:rFonts w:ascii="Cambria" w:hAnsi="Cambria" w:cs="Times New Roman"/>
                <w:b/>
                <w:color w:val="auto"/>
                <w:spacing w:val="-3"/>
                <w:sz w:val="18"/>
                <w:szCs w:val="18"/>
              </w:rPr>
              <w:t xml:space="preserve"> </w:t>
            </w:r>
            <w:r w:rsidRPr="00C138DE">
              <w:rPr>
                <w:rFonts w:ascii="Cambria" w:hAnsi="Cambria" w:cs="Times New Roman"/>
                <w:b/>
                <w:color w:val="auto"/>
                <w:sz w:val="18"/>
                <w:szCs w:val="18"/>
              </w:rPr>
              <w:t>cite</w:t>
            </w:r>
            <w:r w:rsidRPr="00C138DE">
              <w:rPr>
                <w:rFonts w:ascii="Cambria" w:hAnsi="Cambria" w:cs="Times New Roman"/>
                <w:b/>
                <w:color w:val="auto"/>
                <w:spacing w:val="-3"/>
                <w:sz w:val="18"/>
                <w:szCs w:val="18"/>
              </w:rPr>
              <w:t xml:space="preserve"> </w:t>
            </w:r>
            <w:r w:rsidRPr="00C138DE">
              <w:rPr>
                <w:rFonts w:ascii="Cambria" w:hAnsi="Cambria" w:cs="Times New Roman"/>
                <w:b/>
                <w:color w:val="auto"/>
                <w:sz w:val="18"/>
                <w:szCs w:val="18"/>
              </w:rPr>
              <w:t>this</w:t>
            </w:r>
            <w:r w:rsidRPr="00C138DE">
              <w:rPr>
                <w:rFonts w:ascii="Cambria" w:hAnsi="Cambria" w:cs="Times New Roman"/>
                <w:b/>
                <w:color w:val="auto"/>
                <w:spacing w:val="-5"/>
                <w:sz w:val="18"/>
                <w:szCs w:val="18"/>
              </w:rPr>
              <w:t xml:space="preserve"> </w:t>
            </w:r>
            <w:r w:rsidRPr="00C138DE">
              <w:rPr>
                <w:rFonts w:ascii="Cambria" w:hAnsi="Cambria" w:cs="Times New Roman"/>
                <w:b/>
                <w:color w:val="auto"/>
                <w:sz w:val="18"/>
                <w:szCs w:val="18"/>
              </w:rPr>
              <w:t>article:</w:t>
            </w:r>
            <w:r w:rsidRPr="00C138DE">
              <w:rPr>
                <w:rFonts w:ascii="Cambria" w:hAnsi="Cambria" w:cs="Times New Roman"/>
                <w:b/>
                <w:color w:val="auto"/>
                <w:spacing w:val="-3"/>
                <w:sz w:val="18"/>
                <w:szCs w:val="18"/>
              </w:rPr>
              <w:t xml:space="preserve"> </w:t>
            </w:r>
            <w:r w:rsidR="00EF3006" w:rsidRPr="00C138DE">
              <w:rPr>
                <w:rFonts w:ascii="Cambria" w:hAnsi="Cambria" w:cs="Times New Roman"/>
                <w:color w:val="auto"/>
                <w:sz w:val="18"/>
                <w:szCs w:val="18"/>
              </w:rPr>
              <w:t xml:space="preserve">Laurentius Johan </w:t>
            </w:r>
            <w:proofErr w:type="spellStart"/>
            <w:r w:rsidR="00EF3006" w:rsidRPr="00C138DE">
              <w:rPr>
                <w:rFonts w:ascii="Cambria" w:hAnsi="Cambria" w:cs="Times New Roman"/>
                <w:color w:val="auto"/>
                <w:sz w:val="18"/>
                <w:szCs w:val="18"/>
              </w:rPr>
              <w:t>Ardian</w:t>
            </w:r>
            <w:proofErr w:type="spellEnd"/>
            <w:r w:rsidR="00EF3006" w:rsidRPr="00C138DE">
              <w:rPr>
                <w:rFonts w:ascii="Cambria" w:hAnsi="Cambria" w:cs="Times New Roman"/>
                <w:color w:val="auto"/>
                <w:sz w:val="18"/>
                <w:szCs w:val="18"/>
              </w:rPr>
              <w:t xml:space="preserve">, </w:t>
            </w:r>
            <w:proofErr w:type="spellStart"/>
            <w:r w:rsidR="00EF3006" w:rsidRPr="00C138DE">
              <w:rPr>
                <w:rFonts w:ascii="Cambria" w:hAnsi="Cambria" w:cs="Times New Roman"/>
                <w:color w:val="auto"/>
                <w:sz w:val="18"/>
                <w:szCs w:val="18"/>
              </w:rPr>
              <w:t>Wardhani</w:t>
            </w:r>
            <w:proofErr w:type="spellEnd"/>
            <w:r w:rsidR="00EF3006" w:rsidRPr="00C138DE">
              <w:rPr>
                <w:rFonts w:ascii="Cambria" w:hAnsi="Cambria" w:cs="Times New Roman"/>
                <w:color w:val="auto"/>
                <w:sz w:val="18"/>
                <w:szCs w:val="18"/>
              </w:rPr>
              <w:t xml:space="preserve">, F. K., </w:t>
            </w:r>
            <w:proofErr w:type="spellStart"/>
            <w:r w:rsidR="00EF3006" w:rsidRPr="00C138DE">
              <w:rPr>
                <w:rFonts w:ascii="Cambria" w:hAnsi="Cambria" w:cs="Times New Roman"/>
                <w:color w:val="auto"/>
                <w:sz w:val="18"/>
                <w:szCs w:val="18"/>
              </w:rPr>
              <w:t>Kanira</w:t>
            </w:r>
            <w:proofErr w:type="spellEnd"/>
            <w:r w:rsidR="00EF3006" w:rsidRPr="00C138DE">
              <w:rPr>
                <w:rFonts w:ascii="Cambria" w:hAnsi="Cambria" w:cs="Times New Roman"/>
                <w:color w:val="auto"/>
                <w:sz w:val="18"/>
                <w:szCs w:val="18"/>
              </w:rPr>
              <w:t xml:space="preserve">, B., </w:t>
            </w:r>
            <w:proofErr w:type="spellStart"/>
            <w:r w:rsidR="00EF3006" w:rsidRPr="00C138DE">
              <w:rPr>
                <w:rFonts w:ascii="Cambria" w:hAnsi="Cambria" w:cs="Times New Roman"/>
                <w:color w:val="auto"/>
                <w:sz w:val="18"/>
                <w:szCs w:val="18"/>
              </w:rPr>
              <w:t>Jihada</w:t>
            </w:r>
            <w:proofErr w:type="spellEnd"/>
            <w:r w:rsidR="00EF3006" w:rsidRPr="00C138DE">
              <w:rPr>
                <w:rFonts w:ascii="Cambria" w:hAnsi="Cambria" w:cs="Times New Roman"/>
                <w:color w:val="auto"/>
                <w:sz w:val="18"/>
                <w:szCs w:val="18"/>
              </w:rPr>
              <w:t xml:space="preserve">, A. C., &amp; </w:t>
            </w:r>
            <w:proofErr w:type="spellStart"/>
            <w:r w:rsidR="00EF3006" w:rsidRPr="00C138DE">
              <w:rPr>
                <w:rFonts w:ascii="Cambria" w:hAnsi="Cambria" w:cs="Times New Roman"/>
                <w:color w:val="auto"/>
                <w:sz w:val="18"/>
                <w:szCs w:val="18"/>
              </w:rPr>
              <w:t>Affrita</w:t>
            </w:r>
            <w:proofErr w:type="spellEnd"/>
            <w:r w:rsidR="00EF3006" w:rsidRPr="00C138DE">
              <w:rPr>
                <w:rFonts w:ascii="Cambria" w:hAnsi="Cambria" w:cs="Times New Roman"/>
                <w:color w:val="auto"/>
                <w:sz w:val="18"/>
                <w:szCs w:val="18"/>
              </w:rPr>
              <w:t>, T. M. (2026).</w:t>
            </w:r>
            <w:r w:rsidR="00EF3006" w:rsidRPr="00C138DE">
              <w:t xml:space="preserve"> </w:t>
            </w:r>
            <w:r w:rsidR="00EF3006" w:rsidRPr="00C138DE">
              <w:rPr>
                <w:rFonts w:ascii="Cambria" w:hAnsi="Cambria" w:cs="Times New Roman"/>
                <w:color w:val="auto"/>
                <w:sz w:val="18"/>
                <w:szCs w:val="18"/>
              </w:rPr>
              <w:t xml:space="preserve">Sarcopenia Associated with Cognitive Frailty in Adults Diagnosed with Diabetes: Evidence from Primary Healthcare Centers. </w:t>
            </w:r>
            <w:proofErr w:type="spellStart"/>
            <w:r w:rsidR="00EF3006" w:rsidRPr="00C138DE">
              <w:rPr>
                <w:rFonts w:ascii="Cambria" w:hAnsi="Cambria" w:cs="Times New Roman"/>
                <w:i/>
                <w:iCs/>
                <w:color w:val="auto"/>
                <w:sz w:val="18"/>
                <w:szCs w:val="18"/>
              </w:rPr>
              <w:t>Glosains</w:t>
            </w:r>
            <w:proofErr w:type="spellEnd"/>
            <w:r w:rsidR="00EF3006" w:rsidRPr="00C138DE">
              <w:rPr>
                <w:rFonts w:ascii="Cambria" w:hAnsi="Cambria" w:cs="Times New Roman"/>
                <w:i/>
                <w:iCs/>
                <w:color w:val="auto"/>
                <w:sz w:val="18"/>
                <w:szCs w:val="18"/>
              </w:rPr>
              <w:t xml:space="preserve">: </w:t>
            </w:r>
            <w:proofErr w:type="spellStart"/>
            <w:r w:rsidR="00EF3006" w:rsidRPr="00C138DE">
              <w:rPr>
                <w:rFonts w:ascii="Cambria" w:hAnsi="Cambria" w:cs="Times New Roman"/>
                <w:i/>
                <w:iCs/>
                <w:color w:val="auto"/>
                <w:sz w:val="18"/>
                <w:szCs w:val="18"/>
              </w:rPr>
              <w:t>Jurnal</w:t>
            </w:r>
            <w:proofErr w:type="spellEnd"/>
            <w:r w:rsidR="00EF3006" w:rsidRPr="00C138DE">
              <w:rPr>
                <w:rFonts w:ascii="Cambria" w:hAnsi="Cambria" w:cs="Times New Roman"/>
                <w:i/>
                <w:iCs/>
                <w:color w:val="auto"/>
                <w:sz w:val="18"/>
                <w:szCs w:val="18"/>
              </w:rPr>
              <w:t xml:space="preserve"> Sains Global Indonesia</w:t>
            </w:r>
            <w:r w:rsidR="00EF3006" w:rsidRPr="00C138DE">
              <w:rPr>
                <w:rFonts w:ascii="Cambria" w:hAnsi="Cambria" w:cs="Times New Roman"/>
                <w:color w:val="auto"/>
                <w:sz w:val="18"/>
                <w:szCs w:val="18"/>
              </w:rPr>
              <w:t xml:space="preserve">, 7(3), </w:t>
            </w:r>
            <w:r w:rsidR="004E55BE">
              <w:rPr>
                <w:rFonts w:ascii="Cambria" w:hAnsi="Cambria" w:cs="Times New Roman"/>
                <w:color w:val="auto"/>
                <w:sz w:val="18"/>
                <w:szCs w:val="18"/>
              </w:rPr>
              <w:t>1038</w:t>
            </w:r>
            <w:r w:rsidR="00EF3006" w:rsidRPr="00C138DE">
              <w:rPr>
                <w:rFonts w:ascii="Cambria" w:hAnsi="Cambria" w:cs="Times New Roman"/>
                <w:color w:val="auto"/>
                <w:sz w:val="18"/>
                <w:szCs w:val="18"/>
              </w:rPr>
              <w:t>–</w:t>
            </w:r>
            <w:r w:rsidR="004E55BE">
              <w:rPr>
                <w:rFonts w:ascii="Cambria" w:hAnsi="Cambria" w:cs="Times New Roman"/>
                <w:color w:val="auto"/>
                <w:sz w:val="18"/>
                <w:szCs w:val="18"/>
              </w:rPr>
              <w:t>1047</w:t>
            </w:r>
            <w:r w:rsidR="00EF3006" w:rsidRPr="00C138DE">
              <w:rPr>
                <w:rFonts w:ascii="Cambria" w:hAnsi="Cambria" w:cs="Times New Roman"/>
                <w:color w:val="auto"/>
                <w:sz w:val="18"/>
                <w:szCs w:val="18"/>
              </w:rPr>
              <w:t xml:space="preserve">. </w:t>
            </w:r>
            <w:hyperlink r:id="rId10" w:history="1">
              <w:r w:rsidR="00EF3006" w:rsidRPr="00C138DE">
                <w:rPr>
                  <w:rStyle w:val="Hyperlink"/>
                  <w:rFonts w:ascii="Cambria" w:hAnsi="Cambria" w:cs="Times New Roman"/>
                  <w:sz w:val="18"/>
                  <w:szCs w:val="18"/>
                  <w:u w:val="none"/>
                </w:rPr>
                <w:t>https://doi.org/10.59784/glosins.v7i3.757</w:t>
              </w:r>
            </w:hyperlink>
          </w:p>
        </w:tc>
      </w:tr>
    </w:tbl>
    <w:p w14:paraId="11F5A45A" w14:textId="77777777" w:rsidR="00C317C4" w:rsidRPr="00C138DE" w:rsidRDefault="00C317C4" w:rsidP="003672CA">
      <w:pPr>
        <w:widowControl/>
        <w:suppressAutoHyphens/>
        <w:jc w:val="center"/>
        <w:rPr>
          <w:b/>
          <w:bCs/>
          <w:lang w:eastAsia="ar-SA"/>
        </w:rPr>
      </w:pPr>
    </w:p>
    <w:p w14:paraId="17AECEE3" w14:textId="77777777" w:rsidR="00C317C4" w:rsidRPr="00C138DE" w:rsidRDefault="00C317C4" w:rsidP="003672CA">
      <w:pPr>
        <w:widowControl/>
        <w:suppressAutoHyphens/>
        <w:jc w:val="center"/>
        <w:rPr>
          <w:b/>
          <w:bCs/>
          <w:lang w:eastAsia="ar-SA"/>
        </w:rPr>
      </w:pPr>
      <w:r w:rsidRPr="00C138DE">
        <w:rPr>
          <w:b/>
          <w:bCs/>
          <w:lang w:eastAsia="ar-SA"/>
        </w:rPr>
        <w:t>INTRODUCTION</w:t>
      </w:r>
    </w:p>
    <w:p w14:paraId="2FF8E7CB" w14:textId="77777777" w:rsidR="00504C78" w:rsidRDefault="00A663DD" w:rsidP="00A663DD">
      <w:pPr>
        <w:ind w:left="284" w:right="288" w:firstLine="720"/>
        <w:jc w:val="both"/>
        <w:rPr>
          <w:rFonts w:eastAsia="Times New Roman" w:cs="Times New Roman"/>
          <w:lang w:val="en"/>
        </w:rPr>
      </w:pPr>
      <w:r w:rsidRPr="00C138DE">
        <w:rPr>
          <w:rFonts w:eastAsia="Times New Roman" w:cs="Times New Roman"/>
          <w:lang w:val="en"/>
        </w:rPr>
        <w:t>Since Fried</w:t>
      </w:r>
      <w:r w:rsidR="005C1BB9" w:rsidRPr="00C138DE">
        <w:rPr>
          <w:rFonts w:eastAsia="Times New Roman" w:cs="Times New Roman"/>
          <w:lang w:val="en"/>
        </w:rPr>
        <w:t xml:space="preserve"> </w:t>
      </w:r>
      <w:hyperlink w:anchor="Fried" w:history="1">
        <w:r w:rsidR="005C1BB9" w:rsidRPr="00C138DE">
          <w:rPr>
            <w:rStyle w:val="Hyperlink"/>
            <w:rFonts w:eastAsia="Times New Roman" w:cs="Times New Roman"/>
            <w:u w:val="none"/>
            <w:lang w:val="en"/>
          </w:rPr>
          <w:fldChar w:fldCharType="begin" w:fldLock="1"/>
        </w:r>
        <w:r w:rsidR="00250724" w:rsidRPr="00C138DE">
          <w:rPr>
            <w:rStyle w:val="Hyperlink"/>
            <w:rFonts w:eastAsia="Times New Roman" w:cs="Times New Roman"/>
            <w:u w:val="none"/>
            <w:lang w:val="en"/>
          </w:rPr>
          <w:instrText>ADDIN CSL_CITATION {"citationItems":[{"id":"ITEM-1","itemData":{"DOI":"10.1093/gerona/56.3.m146","ISSN":"1758-535X","author":[{"dropping-particle":"","family":"Fried","given":"Linda P","non-dropping-particle":"","parse-names":false,"suffix":""},{"dropping-particle":"","family":"Tangen","given":"Catherine M","non-dropping-particle":"","parse-names":false,"suffix":""},{"dropping-particle":"","family":"Walston","given":"Jeremy","non-dropping-particle":"","parse-names":false,"suffix":""},{"dropping-particle":"","family":"Newman","given":"Anne B","non-dropping-particle":"","parse-names":false,"suffix":""},{"dropping-particle":"","family":"Hirsch","given":"Calvin","non-dropping-particle":"","parse-names":false,"suffix":""},{"dropping-particle":"","family":"Gottdiener","given":"John","non-dropping-particle":"","parse-names":false,"suffix":""},{"dropping-particle":"","family":"Seeman","given":"Teresa","non-dropping-particle":"","parse-names":false,"suffix":""},{"dropping-particle":"","family":"Tracy","given":"Russell","non-dropping-particle":"","parse-names":false,"suffix":""},{"dropping-particle":"","family":"Kop","given":"Willem J","non-dropping-particle":"","parse-names":false,"suffix":""},{"dropping-particle":"","family":"Burke","given":"Gregory","non-dropping-particle":"","parse-names":false,"suffix":""}],"container-title":"The journals of gerontology series a: biological sciences and medical sciences","id":"ITEM-1","issue":"3","issued":{"date-parts":[["2001"]]},"page":"M146-M157","publisher":"Oxford University Press","title":"Frailty in older adults: evidence for a phenotype","type":"article-journal","volume":"56"},"label":"paragraph","suppress-author":1,"uris":["http://www.mendeley.com/documents/?uuid=d297532f-b058-44cf-81d4-17baae068258"]}],"mendeley":{"formattedCitation":"(2001)","plainTextFormattedCitation":"(2001)","previouslyFormattedCitation":"(2001)"},"properties":{"noteIndex":0},"schema":"https://github.com/citation-style-language/schema/raw/master/csl-citation.json"}</w:instrText>
        </w:r>
        <w:r w:rsidR="005C1BB9" w:rsidRPr="00C138DE">
          <w:rPr>
            <w:rStyle w:val="Hyperlink"/>
            <w:rFonts w:eastAsia="Times New Roman" w:cs="Times New Roman"/>
            <w:u w:val="none"/>
            <w:lang w:val="en"/>
          </w:rPr>
          <w:fldChar w:fldCharType="separate"/>
        </w:r>
        <w:r w:rsidR="005C1BB9" w:rsidRPr="00C138DE">
          <w:rPr>
            <w:rStyle w:val="Hyperlink"/>
            <w:rFonts w:eastAsia="Times New Roman" w:cs="Times New Roman"/>
            <w:noProof/>
            <w:u w:val="none"/>
            <w:lang w:val="en"/>
          </w:rPr>
          <w:t>(2001)</w:t>
        </w:r>
        <w:r w:rsidR="005C1BB9" w:rsidRPr="00C138DE">
          <w:rPr>
            <w:rStyle w:val="Hyperlink"/>
            <w:rFonts w:eastAsia="Times New Roman" w:cs="Times New Roman"/>
            <w:u w:val="none"/>
            <w:lang w:val="en"/>
          </w:rPr>
          <w:fldChar w:fldCharType="end"/>
        </w:r>
      </w:hyperlink>
      <w:r w:rsidRPr="00C138DE">
        <w:rPr>
          <w:rFonts w:eastAsia="Times New Roman" w:cs="Times New Roman"/>
          <w:lang w:val="en"/>
        </w:rPr>
        <w:t xml:space="preserve"> first operationalized its phenotypic criteria, frailty has commanded growing scholarly and clinical attention as a multifaceted determinant of adverse health trajectories. Converging evidence from prospective cohorts and meta-analytic syntheses has linked the frailty phenotype to a broad spectrum of adverse outcomes, functional dependency, neurocognitive decline, injurious falls, acute care utilization, and premature death </w:t>
      </w:r>
      <w:hyperlink w:anchor="Mei" w:history="1">
        <w:r w:rsidRPr="00C138DE">
          <w:rPr>
            <w:rStyle w:val="Hyperlink"/>
            <w:rFonts w:eastAsia="Times New Roman" w:cs="Times New Roman"/>
            <w:u w:val="none"/>
            <w:lang w:val="en"/>
          </w:rPr>
          <w:t xml:space="preserve">(Mei et al., </w:t>
        </w:r>
        <w:r w:rsidRPr="00C138DE">
          <w:rPr>
            <w:rStyle w:val="Hyperlink"/>
            <w:rFonts w:eastAsia="Times New Roman" w:cs="Times New Roman"/>
            <w:u w:val="none"/>
            <w:lang w:val="en"/>
          </w:rPr>
          <w:lastRenderedPageBreak/>
          <w:t>2021</w:t>
        </w:r>
      </w:hyperlink>
      <w:r w:rsidRPr="00C138DE">
        <w:rPr>
          <w:rFonts w:eastAsia="Times New Roman" w:cs="Times New Roman"/>
          <w:lang w:val="en"/>
        </w:rPr>
        <w:t xml:space="preserve">; </w:t>
      </w:r>
      <w:hyperlink w:anchor="Vermeiren" w:history="1">
        <w:proofErr w:type="spellStart"/>
        <w:r w:rsidRPr="00C138DE">
          <w:rPr>
            <w:rStyle w:val="Hyperlink"/>
            <w:rFonts w:eastAsia="Times New Roman" w:cs="Times New Roman"/>
            <w:u w:val="none"/>
            <w:lang w:val="en"/>
          </w:rPr>
          <w:t>Vermeiren</w:t>
        </w:r>
        <w:proofErr w:type="spellEnd"/>
        <w:r w:rsidRPr="00C138DE">
          <w:rPr>
            <w:rStyle w:val="Hyperlink"/>
            <w:rFonts w:eastAsia="Times New Roman" w:cs="Times New Roman"/>
            <w:u w:val="none"/>
            <w:lang w:val="en"/>
          </w:rPr>
          <w:t xml:space="preserve"> et al., 2016</w:t>
        </w:r>
      </w:hyperlink>
      <w:r w:rsidRPr="00C138DE">
        <w:rPr>
          <w:rFonts w:eastAsia="Times New Roman" w:cs="Times New Roman"/>
          <w:lang w:val="en"/>
        </w:rPr>
        <w:t>;</w:t>
      </w:r>
      <w:r w:rsidR="005C1BB9" w:rsidRPr="00C138DE">
        <w:rPr>
          <w:rFonts w:eastAsia="Times New Roman" w:cs="Times New Roman"/>
          <w:lang w:val="en"/>
        </w:rPr>
        <w:fldChar w:fldCharType="begin" w:fldLock="1"/>
      </w:r>
      <w:r w:rsidR="005C1BB9" w:rsidRPr="00C138DE">
        <w:rPr>
          <w:rFonts w:eastAsia="Times New Roman" w:cs="Times New Roman"/>
          <w:lang w:val="en"/>
        </w:rPr>
        <w:instrText>ADDIN CSL_CITATION {"citationItems":[{"id":"ITEM-1","itemData":{"DOI":"10.1186/s43162-025-00259-1","ISSN":"2090-9098","author":[{"dropping-particle":"","family":"Elmaleh","given":"Dina mostafa","non-dropping-particle":"","parse-names":false,"suffix":""},{"dropping-particle":"","family":"Mohamed","given":"Dina Morsy Ahmed","non-dropping-particle":"","parse-names":false,"suffix":""}],"container-title":"The Egyptian Journal of Internal Medicine","id":"ITEM-1","issue":"1","issued":{"date-parts":[["2025"]]},"page":"3","publisher":"Springer","title":"Sarcopenia and frailty as predictor of outcome in critically ill elderly patients with multiple comorbidities","type":"article-journal","volume":"37"},"uris":["http://www.mendeley.com/documents/?uuid=2588d7d6-3477-4b55-b248-bd5173d54304"]}],"mendeley":{"formattedCitation":"(Elmaleh &amp; Mohamed, 2025)","manualFormatting":" Elmaleh &amp; Mohamed, 2025)","plainTextFormattedCitation":"(Elmaleh &amp; Mohamed, 2025)","previouslyFormattedCitation":"(Elmaleh &amp; Mohamed, 2025)"},"properties":{"noteIndex":0},"schema":"https://github.com/citation-style-language/schema/raw/master/csl-citation.json"}</w:instrText>
      </w:r>
      <w:r w:rsidR="005C1BB9" w:rsidRPr="00C138DE">
        <w:rPr>
          <w:rFonts w:eastAsia="Times New Roman" w:cs="Times New Roman"/>
          <w:lang w:val="en"/>
        </w:rPr>
        <w:fldChar w:fldCharType="separate"/>
      </w:r>
      <w:r w:rsidR="005C1BB9" w:rsidRPr="00C138DE">
        <w:rPr>
          <w:rFonts w:eastAsia="Times New Roman" w:cs="Times New Roman"/>
          <w:noProof/>
          <w:lang w:val="en"/>
        </w:rPr>
        <w:t xml:space="preserve"> </w:t>
      </w:r>
      <w:hyperlink w:anchor="Elmaleh" w:history="1">
        <w:r w:rsidR="005C1BB9" w:rsidRPr="00C138DE">
          <w:rPr>
            <w:rStyle w:val="Hyperlink"/>
            <w:rFonts w:eastAsia="Times New Roman" w:cs="Times New Roman"/>
            <w:noProof/>
            <w:u w:val="none"/>
            <w:lang w:val="en"/>
          </w:rPr>
          <w:t>Elmaleh &amp; Mohamed, 2025)</w:t>
        </w:r>
      </w:hyperlink>
      <w:r w:rsidR="005C1BB9" w:rsidRPr="00C138DE">
        <w:rPr>
          <w:rFonts w:eastAsia="Times New Roman" w:cs="Times New Roman"/>
          <w:lang w:val="en"/>
        </w:rPr>
        <w:fldChar w:fldCharType="end"/>
      </w:r>
      <w:r w:rsidRPr="00C138DE">
        <w:rPr>
          <w:rFonts w:eastAsia="Times New Roman" w:cs="Times New Roman"/>
          <w:lang w:val="en"/>
        </w:rPr>
        <w:t xml:space="preserve">. The recurring co-occurrence of physical vulnerability and declining cognitive function prompted researchers to delineate a composite syndrome termed cognitive frailty. </w:t>
      </w:r>
    </w:p>
    <w:p w14:paraId="6B2398A8" w14:textId="6B261B79" w:rsidR="00A663DD" w:rsidRPr="00C138DE" w:rsidRDefault="00A663DD" w:rsidP="00A663DD">
      <w:pPr>
        <w:ind w:left="284" w:right="288" w:firstLine="720"/>
        <w:jc w:val="both"/>
        <w:rPr>
          <w:rFonts w:eastAsia="Times New Roman" w:cs="Times New Roman"/>
          <w:lang w:val="en"/>
        </w:rPr>
      </w:pPr>
      <w:r w:rsidRPr="00C138DE">
        <w:rPr>
          <w:rFonts w:eastAsia="Times New Roman" w:cs="Times New Roman"/>
          <w:lang w:val="en"/>
        </w:rPr>
        <w:t>This construct received its formal, consensus-based definition in 2013 through an international working group</w:t>
      </w:r>
      <w:r w:rsidR="009C2791" w:rsidRPr="00C138DE">
        <w:rPr>
          <w:lang w:val="en"/>
        </w:rPr>
        <w:t xml:space="preserve"> </w:t>
      </w:r>
      <w:proofErr w:type="spellStart"/>
      <w:r w:rsidR="009C2791" w:rsidRPr="00C138DE">
        <w:rPr>
          <w:rFonts w:eastAsia="Times New Roman" w:cs="Times New Roman"/>
          <w:lang w:val="en"/>
        </w:rPr>
        <w:t>Kelaiditi</w:t>
      </w:r>
      <w:proofErr w:type="spellEnd"/>
      <w:r w:rsidRPr="00C138DE">
        <w:rPr>
          <w:rFonts w:eastAsia="Times New Roman" w:cs="Times New Roman"/>
          <w:lang w:val="en"/>
        </w:rPr>
        <w:t xml:space="preserve"> </w:t>
      </w:r>
      <w:hyperlink w:anchor="Kelaiditi" w:history="1">
        <w:r w:rsidR="009C2791" w:rsidRPr="00C138DE">
          <w:rPr>
            <w:rStyle w:val="Hyperlink"/>
            <w:rFonts w:eastAsia="Times New Roman" w:cs="Times New Roman"/>
            <w:u w:val="none"/>
            <w:lang w:val="en"/>
          </w:rPr>
          <w:t>(</w:t>
        </w:r>
        <w:r w:rsidRPr="00C138DE">
          <w:rPr>
            <w:rStyle w:val="Hyperlink"/>
            <w:rFonts w:eastAsia="Times New Roman" w:cs="Times New Roman"/>
            <w:u w:val="none"/>
            <w:lang w:val="en"/>
          </w:rPr>
          <w:t>2013)</w:t>
        </w:r>
      </w:hyperlink>
      <w:r w:rsidRPr="00C138DE">
        <w:rPr>
          <w:rFonts w:eastAsia="Times New Roman" w:cs="Times New Roman"/>
          <w:lang w:val="en"/>
        </w:rPr>
        <w:t xml:space="preserve">, which specified the simultaneous presence of physical frailty and non-dementia cognitive impairment as its hallmark features. Importantly, Ruan </w:t>
      </w:r>
      <w:hyperlink w:anchor="Ruan" w:history="1">
        <w:r w:rsidRPr="00C138DE">
          <w:rPr>
            <w:rStyle w:val="Hyperlink"/>
            <w:rFonts w:eastAsia="Times New Roman" w:cs="Times New Roman"/>
            <w:u w:val="none"/>
            <w:lang w:val="en"/>
          </w:rPr>
          <w:t>(2015)</w:t>
        </w:r>
      </w:hyperlink>
      <w:r w:rsidRPr="00C138DE">
        <w:rPr>
          <w:rFonts w:eastAsia="Times New Roman" w:cs="Times New Roman"/>
          <w:lang w:val="en"/>
        </w:rPr>
        <w:t xml:space="preserve"> highlighted the therapeutic window this entity offers: because cognitive frailty occupies a transitional state before established dementia, it retains meaningful potential for partial or full reversibility when addressed through timely clinical intervention.</w:t>
      </w:r>
    </w:p>
    <w:p w14:paraId="4FA4654F" w14:textId="0D34F5A9" w:rsidR="00A663DD" w:rsidRPr="00C138DE" w:rsidRDefault="00A663DD" w:rsidP="00A663DD">
      <w:pPr>
        <w:ind w:left="284" w:right="288" w:firstLine="720"/>
        <w:jc w:val="both"/>
        <w:rPr>
          <w:rFonts w:eastAsia="Times New Roman" w:cs="Times New Roman"/>
          <w:lang w:val="en"/>
        </w:rPr>
      </w:pPr>
      <w:r w:rsidRPr="00C138DE">
        <w:rPr>
          <w:rFonts w:eastAsia="Times New Roman" w:cs="Times New Roman"/>
          <w:lang w:val="en"/>
        </w:rPr>
        <w:t xml:space="preserve">Prevalence estimates for cognitive frailty diverge considerably depending on geographic context and methodological design. Published surveys from diverse Asian settings report rates between 4.8% and 15% </w:t>
      </w:r>
      <w:hyperlink w:anchor="Hardi" w:history="1">
        <w:r w:rsidRPr="00C138DE">
          <w:rPr>
            <w:rStyle w:val="Hyperlink"/>
            <w:rFonts w:eastAsia="Times New Roman" w:cs="Times New Roman"/>
            <w:u w:val="none"/>
            <w:lang w:val="en"/>
          </w:rPr>
          <w:t>(</w:t>
        </w:r>
        <w:proofErr w:type="spellStart"/>
        <w:r w:rsidRPr="00C138DE">
          <w:rPr>
            <w:rStyle w:val="Hyperlink"/>
            <w:rFonts w:eastAsia="Times New Roman" w:cs="Times New Roman"/>
            <w:u w:val="none"/>
            <w:lang w:val="en"/>
          </w:rPr>
          <w:t>Hardi</w:t>
        </w:r>
        <w:proofErr w:type="spellEnd"/>
        <w:r w:rsidRPr="00C138DE">
          <w:rPr>
            <w:rStyle w:val="Hyperlink"/>
            <w:rFonts w:eastAsia="Times New Roman" w:cs="Times New Roman"/>
            <w:u w:val="none"/>
            <w:lang w:val="en"/>
          </w:rPr>
          <w:t xml:space="preserve"> et al., 2025</w:t>
        </w:r>
      </w:hyperlink>
      <w:r w:rsidRPr="00C138DE">
        <w:rPr>
          <w:rFonts w:eastAsia="Times New Roman" w:cs="Times New Roman"/>
          <w:lang w:val="en"/>
        </w:rPr>
        <w:t xml:space="preserve">; </w:t>
      </w:r>
      <w:bookmarkStart w:id="0" w:name="Santoso"/>
      <w:r w:rsidR="00EF43EE" w:rsidRPr="00C138DE">
        <w:rPr>
          <w:rFonts w:eastAsia="Times New Roman" w:cs="Times New Roman"/>
          <w:lang w:val="en"/>
        </w:rPr>
        <w:fldChar w:fldCharType="begin"/>
      </w:r>
      <w:r w:rsidR="00EF43EE" w:rsidRPr="00C138DE">
        <w:rPr>
          <w:rFonts w:eastAsia="Times New Roman" w:cs="Times New Roman"/>
          <w:lang w:val="en"/>
        </w:rPr>
        <w:instrText>HYPERLINK  \l "Santoso"</w:instrText>
      </w:r>
      <w:r w:rsidR="00EF43EE" w:rsidRPr="00C138DE">
        <w:rPr>
          <w:rFonts w:eastAsia="Times New Roman" w:cs="Times New Roman"/>
          <w:lang w:val="en"/>
        </w:rPr>
      </w:r>
      <w:r w:rsidR="00EF43EE" w:rsidRPr="00C138DE">
        <w:rPr>
          <w:rFonts w:eastAsia="Times New Roman" w:cs="Times New Roman"/>
          <w:lang w:val="en"/>
        </w:rPr>
        <w:fldChar w:fldCharType="separate"/>
      </w:r>
      <w:r w:rsidRPr="00C138DE">
        <w:rPr>
          <w:rStyle w:val="Hyperlink"/>
          <w:rFonts w:eastAsia="Times New Roman" w:cs="Times New Roman"/>
          <w:u w:val="none"/>
          <w:lang w:val="en"/>
        </w:rPr>
        <w:t xml:space="preserve">Santoso &amp; </w:t>
      </w:r>
      <w:proofErr w:type="spellStart"/>
      <w:r w:rsidRPr="00C138DE">
        <w:rPr>
          <w:rStyle w:val="Hyperlink"/>
          <w:rFonts w:eastAsia="Times New Roman" w:cs="Times New Roman"/>
          <w:u w:val="none"/>
          <w:lang w:val="en"/>
        </w:rPr>
        <w:t>Rensa</w:t>
      </w:r>
      <w:proofErr w:type="spellEnd"/>
      <w:r w:rsidRPr="00C138DE">
        <w:rPr>
          <w:rStyle w:val="Hyperlink"/>
          <w:rFonts w:eastAsia="Times New Roman" w:cs="Times New Roman"/>
          <w:u w:val="none"/>
          <w:lang w:val="en"/>
        </w:rPr>
        <w:t>, 2022</w:t>
      </w:r>
      <w:bookmarkEnd w:id="0"/>
      <w:r w:rsidR="00EF43EE" w:rsidRPr="00C138DE">
        <w:rPr>
          <w:rFonts w:eastAsia="Times New Roman" w:cs="Times New Roman"/>
          <w:lang w:val="en"/>
        </w:rPr>
        <w:fldChar w:fldCharType="end"/>
      </w:r>
      <w:r w:rsidRPr="00C138DE">
        <w:rPr>
          <w:rFonts w:eastAsia="Times New Roman" w:cs="Times New Roman"/>
          <w:lang w:val="en"/>
        </w:rPr>
        <w:t xml:space="preserve">; Utech et al., 2023), whereas data from European cohorts indicate higher proportions, with figures of 14% and 23.6% recorded in selected samples </w:t>
      </w:r>
      <w:r w:rsidR="00250724" w:rsidRPr="00C138DE">
        <w:rPr>
          <w:rFonts w:eastAsia="Times New Roman" w:cs="Times New Roman"/>
          <w:lang w:val="en"/>
        </w:rPr>
        <w:fldChar w:fldCharType="begin" w:fldLock="1"/>
      </w:r>
      <w:r w:rsidR="00250724" w:rsidRPr="00C138DE">
        <w:rPr>
          <w:rFonts w:eastAsia="Times New Roman" w:cs="Times New Roman"/>
          <w:lang w:val="en"/>
        </w:rPr>
        <w:instrText>ADDIN CSL_CITATION {"citationItems":[{"id":"ITEM-1","itemData":{"DOI":"10.3389/fpsyg.2022.968343","ISSN":"1664-1078","author":[{"dropping-particle":"","family":"Gaspar","given":"Pedro Miguel","non-dropping-particle":"","parse-names":false,"suffix":""},{"dropping-particle":"","family":"Campos-Magdaleno","given":"María","non-dropping-particle":"","parse-names":false,"suffix":""},{"dropping-particle":"","family":"Pereiro","given":"Arturo X","non-dropping-particle":"","parse-names":false,"suffix":""},{"dropping-particle":"","family":"Facal","given":"David","non-dropping-particle":"","parse-names":false,"suffix":""},{"dropping-particle":"","family":"Juncos-Rabadán","given":"Onésimo","non-dropping-particle":"","parse-names":false,"suffix":""}],"container-title":"Frontiers in Psychology","id":"ITEM-1","issued":{"date-parts":[["2022"]]},"page":"968343","publisher":"Frontiers Media SA","title":"Cognitive reserve and mental health in cognitive frailty phenotypes: Insights from a study with a Portuguese sample","type":"article-journal","volume":"13"},"uris":["http://www.mendeley.com/documents/?uuid=b284c014-b773-42ce-a69d-15b4c100f541"]},{"id":"ITEM-2","itemData":{"ISSN":"1663-4365","author":[{"dropping-particle":"","family":"Corral-Pérez","given":"Juan","non-dropping-particle":"","parse-names":false,"suffix":""},{"dropping-particle":"","family":"Casals","given":"Cristina","non-dropping-particle":"","parse-names":false,"suffix":""},{"dropping-particle":"","family":"Ávila-Cabeza-de-Vaca","given":"Laura","non-dropping-particle":"","parse-names":false,"suffix":""},{"dropping-particle":"","family":"González-Mariscal","given":"Andrea","non-dropping-particle":"","parse-names":false,"suffix":""},{"dropping-particle":"","family":"Martínez-Zaragoza","given":"Ildefonsa","non-dropping-particle":"","parse-names":false,"suffix":""},{"dropping-particle":"","family":"Villa-Estrada","given":"Francisca","non-dropping-particle":"","parse-names":false,"suffix":""},{"dropping-particle":"","family":"Reina-Campos","given":"Remedios","non-dropping-particle":"","parse-names":false,"suffix":""},{"dropping-particle":"","family":"Vázquez-Sánchez","given":"María Á","non-dropping-particle":"","parse-names":false,"suffix":""}],"container-title":"Frontiers in aging neuroscience","id":"ITEM-2","issued":{"date-parts":[["2023"]]},"page":"1232460","publisher":"Frontiers Media SA","title":"Health factors associated with cognitive frailty in older adults living in the community","type":"article-journal","volume":"15"},"uris":["http://www.mendeley.com/documents/?uuid=17b5aa7d-4ef5-4a06-ab94-0be16d1d2366"]}],"mendeley":{"formattedCitation":"(Corral-Pérez et al., 2023; Gaspar et al., 2022)","plainTextFormattedCitation":"(Corral-Pérez et al., 2023; Gaspar et al., 2022)"},"properties":{"noteIndex":0},"schema":"https://github.com/citation-style-language/schema/raw/master/csl-citation.json"}</w:instrText>
      </w:r>
      <w:r w:rsidR="00250724" w:rsidRPr="00C138DE">
        <w:rPr>
          <w:rFonts w:eastAsia="Times New Roman" w:cs="Times New Roman"/>
          <w:lang w:val="en"/>
        </w:rPr>
        <w:fldChar w:fldCharType="separate"/>
      </w:r>
      <w:hyperlink w:anchor="Corral" w:history="1">
        <w:r w:rsidR="00250724" w:rsidRPr="00C138DE">
          <w:rPr>
            <w:rStyle w:val="Hyperlink"/>
            <w:rFonts w:eastAsia="Times New Roman" w:cs="Times New Roman"/>
            <w:noProof/>
            <w:u w:val="none"/>
            <w:lang w:val="en"/>
          </w:rPr>
          <w:t>(Corral-Pérez et al., 2023</w:t>
        </w:r>
      </w:hyperlink>
      <w:r w:rsidR="00250724" w:rsidRPr="00C138DE">
        <w:rPr>
          <w:rFonts w:eastAsia="Times New Roman" w:cs="Times New Roman"/>
          <w:noProof/>
          <w:lang w:val="en"/>
        </w:rPr>
        <w:t xml:space="preserve">; </w:t>
      </w:r>
      <w:hyperlink w:anchor="Gaspar" w:history="1">
        <w:r w:rsidR="00250724" w:rsidRPr="00C138DE">
          <w:rPr>
            <w:rStyle w:val="Hyperlink"/>
            <w:rFonts w:eastAsia="Times New Roman" w:cs="Times New Roman"/>
            <w:noProof/>
            <w:u w:val="none"/>
            <w:lang w:val="en"/>
          </w:rPr>
          <w:t>Gaspar et al., 2022)</w:t>
        </w:r>
      </w:hyperlink>
      <w:r w:rsidR="00250724" w:rsidRPr="00C138DE">
        <w:rPr>
          <w:rFonts w:eastAsia="Times New Roman" w:cs="Times New Roman"/>
          <w:lang w:val="en"/>
        </w:rPr>
        <w:fldChar w:fldCharType="end"/>
      </w:r>
      <w:r w:rsidRPr="00C138DE">
        <w:rPr>
          <w:rFonts w:eastAsia="Times New Roman" w:cs="Times New Roman"/>
          <w:lang w:val="en"/>
        </w:rPr>
        <w:t xml:space="preserve">. The clinical gravity of these findings was underscored by a pooled analysis from Bu </w:t>
      </w:r>
      <w:hyperlink w:anchor="Bu" w:history="1">
        <w:r w:rsidRPr="00C138DE">
          <w:rPr>
            <w:rStyle w:val="Hyperlink"/>
            <w:rFonts w:eastAsia="Times New Roman" w:cs="Times New Roman"/>
            <w:u w:val="none"/>
            <w:lang w:val="en"/>
          </w:rPr>
          <w:t>(2021)</w:t>
        </w:r>
      </w:hyperlink>
      <w:r w:rsidRPr="00C138DE">
        <w:rPr>
          <w:rFonts w:eastAsia="Times New Roman" w:cs="Times New Roman"/>
          <w:lang w:val="en"/>
        </w:rPr>
        <w:t>, who demonstrated that older adults without cognitive frailty experienced substantially reduced hazards of all-cause mortality [HR: 0.59 (95% CI: 0.58–0.60)] and incident dementia [HR: 0.46 (95% CI: 0.40–0.54)] when compared with cognitively frail individuals—evidence that firmly positions cognitive frailty as a potent prognostic indicator of both mortality and dementia risk.</w:t>
      </w:r>
    </w:p>
    <w:p w14:paraId="70CF6056" w14:textId="59AA325B" w:rsidR="00A663DD" w:rsidRPr="00C138DE" w:rsidRDefault="00A663DD" w:rsidP="00A663DD">
      <w:pPr>
        <w:ind w:left="284" w:right="288" w:firstLine="720"/>
        <w:jc w:val="both"/>
        <w:rPr>
          <w:rFonts w:eastAsia="Times New Roman" w:cs="Times New Roman"/>
          <w:lang w:val="en"/>
        </w:rPr>
      </w:pPr>
      <w:r w:rsidRPr="00C138DE">
        <w:rPr>
          <w:rFonts w:eastAsia="Times New Roman" w:cs="Times New Roman"/>
          <w:lang w:val="en"/>
        </w:rPr>
        <w:t xml:space="preserve">Recognition that frailty carries serious prognostic consequences has motivated investigations in populations beyond the traditional geriatric scope, particularly among working-age individuals burdened by high-impact chronic diseases. Type 2 diabetes, chronic hypertension, advanced renal failure, and oncologic conditions each accelerate molecular aging pathways </w:t>
      </w:r>
      <w:r w:rsidR="00EF43EE" w:rsidRPr="00C138DE">
        <w:rPr>
          <w:rFonts w:eastAsia="Times New Roman" w:cs="Times New Roman"/>
          <w:lang w:val="en"/>
        </w:rPr>
        <w:t xml:space="preserve">Hanna </w:t>
      </w:r>
      <w:hyperlink w:anchor="Hanna" w:history="1">
        <w:r w:rsidRPr="00C138DE">
          <w:rPr>
            <w:rStyle w:val="Hyperlink"/>
            <w:rFonts w:eastAsia="Times New Roman" w:cs="Times New Roman"/>
            <w:u w:val="none"/>
            <w:lang w:val="en"/>
          </w:rPr>
          <w:t>(202</w:t>
        </w:r>
        <w:r w:rsidR="00EF43EE" w:rsidRPr="00C138DE">
          <w:rPr>
            <w:rStyle w:val="Hyperlink"/>
            <w:rFonts w:eastAsia="Times New Roman" w:cs="Times New Roman"/>
            <w:u w:val="none"/>
            <w:lang w:val="en"/>
          </w:rPr>
          <w:t>0)</w:t>
        </w:r>
      </w:hyperlink>
      <w:r w:rsidR="00EF43EE" w:rsidRPr="00C138DE">
        <w:rPr>
          <w:rFonts w:eastAsia="Times New Roman" w:cs="Times New Roman"/>
          <w:lang w:val="en"/>
        </w:rPr>
        <w:t xml:space="preserve"> and</w:t>
      </w:r>
      <w:r w:rsidRPr="00C138DE">
        <w:rPr>
          <w:rFonts w:eastAsia="Times New Roman" w:cs="Times New Roman"/>
          <w:lang w:val="en"/>
        </w:rPr>
        <w:t xml:space="preserve"> </w:t>
      </w:r>
      <w:hyperlink w:anchor="Zhang" w:history="1">
        <w:r w:rsidRPr="00C138DE">
          <w:rPr>
            <w:rStyle w:val="Hyperlink"/>
            <w:rFonts w:eastAsia="Times New Roman" w:cs="Times New Roman"/>
            <w:color w:val="auto"/>
            <w:u w:val="none"/>
            <w:lang w:val="en"/>
          </w:rPr>
          <w:t xml:space="preserve">Zhang </w:t>
        </w:r>
        <w:r w:rsidR="00EF43EE" w:rsidRPr="00C138DE">
          <w:rPr>
            <w:rStyle w:val="Hyperlink"/>
            <w:rFonts w:eastAsia="Times New Roman" w:cs="Times New Roman"/>
            <w:u w:val="none"/>
            <w:lang w:val="en"/>
          </w:rPr>
          <w:t>(</w:t>
        </w:r>
        <w:r w:rsidRPr="00C138DE">
          <w:rPr>
            <w:rStyle w:val="Hyperlink"/>
            <w:rFonts w:eastAsia="Times New Roman" w:cs="Times New Roman"/>
            <w:u w:val="none"/>
            <w:lang w:val="en"/>
          </w:rPr>
          <w:t>202</w:t>
        </w:r>
        <w:r w:rsidR="00EF43EE" w:rsidRPr="00C138DE">
          <w:rPr>
            <w:rStyle w:val="Hyperlink"/>
            <w:rFonts w:eastAsia="Times New Roman" w:cs="Times New Roman"/>
            <w:u w:val="none"/>
            <w:lang w:val="en"/>
          </w:rPr>
          <w:t>3)</w:t>
        </w:r>
      </w:hyperlink>
      <w:r w:rsidRPr="00C138DE">
        <w:rPr>
          <w:rFonts w:eastAsia="Times New Roman" w:cs="Times New Roman"/>
          <w:lang w:val="en"/>
        </w:rPr>
        <w:t xml:space="preserve">, thereby predisposing affected individuals to early-onset frailty. A unifying pathobiological mechanism across these disease states is </w:t>
      </w:r>
      <w:proofErr w:type="spellStart"/>
      <w:r w:rsidRPr="00C138DE">
        <w:rPr>
          <w:rFonts w:eastAsia="Times New Roman" w:cs="Times New Roman"/>
          <w:lang w:val="en"/>
        </w:rPr>
        <w:t>inflammaging</w:t>
      </w:r>
      <w:proofErr w:type="spellEnd"/>
      <w:r w:rsidRPr="00C138DE">
        <w:rPr>
          <w:rFonts w:eastAsia="Times New Roman" w:cs="Times New Roman"/>
          <w:lang w:val="en"/>
        </w:rPr>
        <w:t xml:space="preserve">, the gradual accumulation of low-grade, persistent systemic inflammation that concurrently erodes organ function, undermines physical capacity, and promotes the frailty cascade. Chronic elevation of circulating pro-inflammatory mediators underpins this trajectory, and sustained overproduction has been mechanistically implicated in the progressive decline of musculoskeletal integrity, locomotor capacity, and the clinical emergence of sarcopenia </w:t>
      </w:r>
      <w:hyperlink w:anchor="Salaffi" w:history="1">
        <w:r w:rsidRPr="00C138DE">
          <w:rPr>
            <w:rStyle w:val="Hyperlink"/>
            <w:rFonts w:eastAsia="Times New Roman" w:cs="Times New Roman"/>
            <w:u w:val="none"/>
            <w:lang w:val="en"/>
          </w:rPr>
          <w:t>(</w:t>
        </w:r>
        <w:proofErr w:type="spellStart"/>
        <w:r w:rsidRPr="00C138DE">
          <w:rPr>
            <w:rStyle w:val="Hyperlink"/>
            <w:rFonts w:eastAsia="Times New Roman" w:cs="Times New Roman"/>
            <w:u w:val="none"/>
            <w:lang w:val="en"/>
          </w:rPr>
          <w:t>Salaffi</w:t>
        </w:r>
        <w:proofErr w:type="spellEnd"/>
        <w:r w:rsidRPr="00C138DE">
          <w:rPr>
            <w:rStyle w:val="Hyperlink"/>
            <w:rFonts w:eastAsia="Times New Roman" w:cs="Times New Roman"/>
            <w:u w:val="none"/>
            <w:lang w:val="en"/>
          </w:rPr>
          <w:t xml:space="preserve"> et al., 2023)</w:t>
        </w:r>
      </w:hyperlink>
      <w:r w:rsidRPr="00C138DE">
        <w:rPr>
          <w:rFonts w:eastAsia="Times New Roman" w:cs="Times New Roman"/>
          <w:lang w:val="en"/>
        </w:rPr>
        <w:t>.</w:t>
      </w:r>
    </w:p>
    <w:p w14:paraId="427B8607" w14:textId="0F01339A" w:rsidR="00EF43EE" w:rsidRPr="00C138DE" w:rsidRDefault="00A663DD" w:rsidP="00A663DD">
      <w:pPr>
        <w:ind w:left="284" w:right="288" w:firstLine="720"/>
        <w:jc w:val="both"/>
        <w:rPr>
          <w:rFonts w:eastAsia="Times New Roman" w:cs="Times New Roman"/>
          <w:lang w:val="en"/>
        </w:rPr>
      </w:pPr>
      <w:r w:rsidRPr="00C138DE">
        <w:rPr>
          <w:rFonts w:eastAsia="Times New Roman" w:cs="Times New Roman"/>
          <w:lang w:val="en"/>
        </w:rPr>
        <w:t xml:space="preserve">Expanding evidence base points to a mutually reinforcing interplay between diabetes mellitus and the frailty phenotype. Current data position frailty as the third most prevalent diabetes-associated complication, surpassed only by macrovascular and microvascular disease. Sustained glucose dysregulation triggers cascading oxidative stress, inflammatory amplification, and peripheral insulin resistance—processes that collectively degrade skeletal muscle architecture and contractile capacity, rendering diabetes a robust catalyst of muscle atrophy and frailty progression </w:t>
      </w:r>
      <w:hyperlink w:anchor="Wu" w:history="1">
        <w:r w:rsidRPr="00C138DE">
          <w:rPr>
            <w:rStyle w:val="Hyperlink"/>
            <w:rFonts w:eastAsia="Times New Roman" w:cs="Times New Roman"/>
            <w:u w:val="none"/>
            <w:lang w:val="en"/>
          </w:rPr>
          <w:t>(Wu et al., 2022)</w:t>
        </w:r>
      </w:hyperlink>
      <w:r w:rsidRPr="00C138DE">
        <w:rPr>
          <w:rFonts w:eastAsia="Times New Roman" w:cs="Times New Roman"/>
          <w:lang w:val="en"/>
        </w:rPr>
        <w:t xml:space="preserve">. </w:t>
      </w:r>
    </w:p>
    <w:p w14:paraId="5EAFBEDF" w14:textId="681E4AAD" w:rsidR="00A663DD" w:rsidRPr="00C138DE" w:rsidRDefault="00A663DD" w:rsidP="00A663DD">
      <w:pPr>
        <w:ind w:left="284" w:right="288" w:firstLine="720"/>
        <w:jc w:val="both"/>
        <w:rPr>
          <w:rFonts w:eastAsia="Times New Roman" w:cs="Times New Roman"/>
          <w:lang w:val="en"/>
        </w:rPr>
      </w:pPr>
      <w:r w:rsidRPr="00C138DE">
        <w:rPr>
          <w:rFonts w:eastAsia="Times New Roman" w:cs="Times New Roman"/>
          <w:lang w:val="en"/>
        </w:rPr>
        <w:t>National surveillance data from the 2018 Indonesian Basic Health Research (</w:t>
      </w:r>
      <w:proofErr w:type="spellStart"/>
      <w:r w:rsidRPr="00C138DE">
        <w:rPr>
          <w:rFonts w:eastAsia="Times New Roman" w:cs="Times New Roman"/>
          <w:lang w:val="en"/>
        </w:rPr>
        <w:t>Riskesdas</w:t>
      </w:r>
      <w:proofErr w:type="spellEnd"/>
      <w:r w:rsidRPr="00C138DE">
        <w:rPr>
          <w:rFonts w:eastAsia="Times New Roman" w:cs="Times New Roman"/>
          <w:lang w:val="en"/>
        </w:rPr>
        <w:t>) estimated that 10.7% of the population aged ≥15 years had type 2 diabetes, a figure that continues to rise. Surabaya, the country’s second-largest metropolitan center, bears a disproportionate share of this burden, with community health centers (</w:t>
      </w:r>
      <w:proofErr w:type="spellStart"/>
      <w:r w:rsidRPr="00C138DE">
        <w:rPr>
          <w:rFonts w:eastAsia="Times New Roman" w:cs="Times New Roman"/>
          <w:lang w:val="en"/>
        </w:rPr>
        <w:t>puskesmas</w:t>
      </w:r>
      <w:proofErr w:type="spellEnd"/>
      <w:r w:rsidRPr="00C138DE">
        <w:rPr>
          <w:rFonts w:eastAsia="Times New Roman" w:cs="Times New Roman"/>
          <w:lang w:val="en"/>
        </w:rPr>
        <w:t>) serving as the principal primary care delivery platforms. Despite the scale of this epidemiological challenge, routine screening protocols for frailty and cognitive impairment among community-managed diabetic patients have not yet been systematically implemented in Indonesian primary care</w:t>
      </w:r>
      <w:r w:rsidR="004C183A">
        <w:rPr>
          <w:rFonts w:eastAsia="Times New Roman" w:cs="Times New Roman"/>
          <w:lang w:val="en"/>
        </w:rPr>
        <w:t>.</w:t>
      </w:r>
    </w:p>
    <w:p w14:paraId="17550494" w14:textId="77777777" w:rsidR="00285A12" w:rsidRPr="00C138DE" w:rsidRDefault="00A663DD" w:rsidP="00A663DD">
      <w:pPr>
        <w:ind w:left="284" w:right="288" w:firstLine="720"/>
        <w:jc w:val="both"/>
        <w:rPr>
          <w:rFonts w:eastAsia="Times New Roman" w:cs="Times New Roman"/>
          <w:lang w:val="en"/>
        </w:rPr>
      </w:pPr>
      <w:r w:rsidRPr="00C138DE">
        <w:rPr>
          <w:rFonts w:eastAsia="Times New Roman" w:cs="Times New Roman"/>
          <w:lang w:val="en"/>
        </w:rPr>
        <w:t>Notwithstanding robust evidence linking diabetes to frailty</w:t>
      </w:r>
      <w:r w:rsidR="00EF43EE" w:rsidRPr="00C138DE">
        <w:rPr>
          <w:rFonts w:eastAsia="Times New Roman" w:cs="Times New Roman"/>
          <w:lang w:val="en"/>
        </w:rPr>
        <w:t xml:space="preserve"> Wu</w:t>
      </w:r>
      <w:r w:rsidRPr="00C138DE">
        <w:rPr>
          <w:rFonts w:eastAsia="Times New Roman" w:cs="Times New Roman"/>
          <w:lang w:val="en"/>
        </w:rPr>
        <w:t xml:space="preserve"> </w:t>
      </w:r>
      <w:hyperlink w:anchor="Wu" w:history="1">
        <w:r w:rsidR="00EF43EE" w:rsidRPr="00C138DE">
          <w:rPr>
            <w:rStyle w:val="Hyperlink"/>
            <w:rFonts w:eastAsia="Times New Roman" w:cs="Times New Roman"/>
            <w:u w:val="none"/>
            <w:lang w:val="en"/>
          </w:rPr>
          <w:t>(2022)</w:t>
        </w:r>
      </w:hyperlink>
      <w:r w:rsidRPr="00C138DE">
        <w:rPr>
          <w:rFonts w:eastAsia="Times New Roman" w:cs="Times New Roman"/>
          <w:lang w:val="en"/>
        </w:rPr>
        <w:t xml:space="preserve">, the literature base remains heavily skewed toward elderly samples, leaving younger, working-age adults substantially underrepresented. Critically, the sustained inflammatory milieu characteristic of diabetes can drive premature biological aging and early frailty even among non-geriatric individuals, increasing their risk of disability, unplanned hospitalization, and shortened lifespan. Against this backdrop, the current investigation was conceived to quantify the prevalence of cognitive frailty and delineate its contributory factors among diabetic patients, spanning working-age through older adulthood, receiving care in community settings. </w:t>
      </w:r>
    </w:p>
    <w:p w14:paraId="7520E51F" w14:textId="32A24C47" w:rsidR="00970DED" w:rsidRPr="00C138DE" w:rsidRDefault="00A663DD" w:rsidP="00A663DD">
      <w:pPr>
        <w:ind w:left="284" w:right="288" w:firstLine="720"/>
        <w:jc w:val="both"/>
        <w:rPr>
          <w:rFonts w:eastAsia="Times New Roman" w:cs="Times New Roman"/>
          <w:lang w:val="en"/>
        </w:rPr>
      </w:pPr>
      <w:r w:rsidRPr="00C138DE">
        <w:rPr>
          <w:rFonts w:eastAsia="Times New Roman" w:cs="Times New Roman"/>
          <w:lang w:val="en"/>
        </w:rPr>
        <w:t xml:space="preserve">Although geriatric medicine has increasingly embraced integrated frailty assessment, standardized cognitive screening remains underutilized in frontline diabetes care, limiting early identification of at-risk patients. This study therefore addresses a concrete gap by examining </w:t>
      </w:r>
      <w:r w:rsidRPr="00C138DE">
        <w:rPr>
          <w:rFonts w:eastAsia="Times New Roman" w:cs="Times New Roman"/>
          <w:lang w:val="en"/>
        </w:rPr>
        <w:lastRenderedPageBreak/>
        <w:t>whether structured cognitive frailty evaluation can yield clinically actionable insights within a primary care diabetes context. Virtually all published cognitive frailty research in diabetic populations has been confined to institutionalized or hospital-based geriatric cohorts, leaving a critical blind spot regarding non-elderly community-dwelling patients. Compounding this limitation, most existing studies originate from well-resourced tertiary institutions in Western countries, with minimal representation of primary care settings across Southeast Asia or Indonesia. This scarcity of population-level evidence from ethnically diverse, working-age diabetic communities represents a methodological gap that this study seeks to address. By generating data from this underexplored population, the present work may strengthen the rationale for embedding sarcopenia surveillance and cognitive assessment into standard primary care diabetes management, enabling earlier identification of vulnerable individuals and timely preventive intervention.</w:t>
      </w:r>
    </w:p>
    <w:p w14:paraId="261E44CD" w14:textId="77777777" w:rsidR="00C317C4" w:rsidRPr="00C138DE" w:rsidRDefault="00C317C4" w:rsidP="003672CA">
      <w:pPr>
        <w:ind w:firstLine="720"/>
        <w:jc w:val="both"/>
        <w:rPr>
          <w:rFonts w:eastAsia="Times New Roman" w:cs="Times New Roman"/>
        </w:rPr>
      </w:pPr>
    </w:p>
    <w:p w14:paraId="72424197" w14:textId="77777777" w:rsidR="00C317C4" w:rsidRPr="00C138DE" w:rsidRDefault="00C317C4" w:rsidP="003672CA">
      <w:pPr>
        <w:widowControl/>
        <w:suppressAutoHyphens/>
        <w:jc w:val="center"/>
        <w:rPr>
          <w:b/>
          <w:bCs/>
          <w:lang w:eastAsia="ar-SA"/>
        </w:rPr>
      </w:pPr>
      <w:r w:rsidRPr="00C138DE">
        <w:rPr>
          <w:b/>
          <w:bCs/>
          <w:lang w:eastAsia="ar-SA"/>
        </w:rPr>
        <w:t>METHOD</w:t>
      </w:r>
    </w:p>
    <w:p w14:paraId="0D1438EC" w14:textId="53B6AF57" w:rsidR="00A663DD" w:rsidRPr="00C138DE" w:rsidRDefault="00A663DD" w:rsidP="00A663DD">
      <w:pPr>
        <w:ind w:left="284" w:right="288" w:firstLine="720"/>
        <w:jc w:val="both"/>
        <w:rPr>
          <w:rFonts w:eastAsia="Times New Roman" w:cs="Times New Roman"/>
          <w:lang w:val="en"/>
        </w:rPr>
      </w:pPr>
      <w:r w:rsidRPr="00C138DE">
        <w:rPr>
          <w:rFonts w:eastAsia="Times New Roman" w:cs="Times New Roman"/>
          <w:lang w:val="en"/>
        </w:rPr>
        <w:t>This investigation adopted a cross-sectional observational framework. Recruitment and data acquisition took place from July through November 2025 across the outpatient clinics of two community-level healthcare facilities (</w:t>
      </w:r>
      <w:proofErr w:type="spellStart"/>
      <w:r w:rsidRPr="00C138DE">
        <w:rPr>
          <w:rFonts w:eastAsia="Times New Roman" w:cs="Times New Roman"/>
          <w:lang w:val="en"/>
        </w:rPr>
        <w:t>Gunung</w:t>
      </w:r>
      <w:proofErr w:type="spellEnd"/>
      <w:r w:rsidRPr="00C138DE">
        <w:rPr>
          <w:rFonts w:eastAsia="Times New Roman" w:cs="Times New Roman"/>
          <w:lang w:val="en"/>
        </w:rPr>
        <w:t xml:space="preserve"> </w:t>
      </w:r>
      <w:proofErr w:type="spellStart"/>
      <w:r w:rsidRPr="00C138DE">
        <w:rPr>
          <w:rFonts w:eastAsia="Times New Roman" w:cs="Times New Roman"/>
          <w:lang w:val="en"/>
        </w:rPr>
        <w:t>Anyar</w:t>
      </w:r>
      <w:proofErr w:type="spellEnd"/>
      <w:r w:rsidRPr="00C138DE">
        <w:rPr>
          <w:rFonts w:eastAsia="Times New Roman" w:cs="Times New Roman"/>
          <w:lang w:val="en"/>
        </w:rPr>
        <w:t xml:space="preserve"> and </w:t>
      </w:r>
      <w:proofErr w:type="spellStart"/>
      <w:r w:rsidRPr="00C138DE">
        <w:rPr>
          <w:rFonts w:eastAsia="Times New Roman" w:cs="Times New Roman"/>
          <w:lang w:val="en"/>
        </w:rPr>
        <w:t>Medokan</w:t>
      </w:r>
      <w:proofErr w:type="spellEnd"/>
      <w:r w:rsidRPr="00C138DE">
        <w:rPr>
          <w:rFonts w:eastAsia="Times New Roman" w:cs="Times New Roman"/>
          <w:lang w:val="en"/>
        </w:rPr>
        <w:t xml:space="preserve"> Ayu Primary Health Centers) both situated in the Surabaya metropolitan area of Indonesia. Adults aged ≥18 years were eligible provided they had a verified diagnosis of diabetes, corroborated by fasting plasma glucose measurements, glycated hemoglobin (HbA1c) testing, or documented use of glucose-lowering pharmacotherapy; all enrollees provided written informed consent. Individuals were excluded if they exhibited severe cognitive impairment (MMSE ≤ 10), presented at the clinic unaccompanied regardless of cognitive capacity, or demonstrated complete dependence in daily activities as assessed by the Instrumental Activities of Daily Living (IADL) scale. The minimum required sample size was estimated under a two-sided hypothesis testing framework (type I error 5%, type II error 10%; α = 0.05, β = 0.10), guided by prognostic-study sample-size heuristics </w:t>
      </w:r>
      <w:bookmarkStart w:id="1" w:name="Grobbee"/>
      <w:r w:rsidR="009C2791" w:rsidRPr="00C138DE">
        <w:rPr>
          <w:rFonts w:eastAsia="Times New Roman" w:cs="Times New Roman"/>
          <w:lang w:val="en"/>
        </w:rPr>
        <w:fldChar w:fldCharType="begin"/>
      </w:r>
      <w:r w:rsidR="009C2791" w:rsidRPr="00C138DE">
        <w:rPr>
          <w:rFonts w:eastAsia="Times New Roman" w:cs="Times New Roman"/>
          <w:lang w:val="en"/>
        </w:rPr>
        <w:instrText>HYPERLINK  \l "Grobbee"</w:instrText>
      </w:r>
      <w:r w:rsidR="009C2791" w:rsidRPr="00C138DE">
        <w:rPr>
          <w:rFonts w:eastAsia="Times New Roman" w:cs="Times New Roman"/>
          <w:lang w:val="en"/>
        </w:rPr>
      </w:r>
      <w:r w:rsidR="009C2791" w:rsidRPr="00C138DE">
        <w:rPr>
          <w:rFonts w:eastAsia="Times New Roman" w:cs="Times New Roman"/>
          <w:lang w:val="en"/>
        </w:rPr>
        <w:fldChar w:fldCharType="separate"/>
      </w:r>
      <w:r w:rsidRPr="00C138DE">
        <w:rPr>
          <w:rStyle w:val="Hyperlink"/>
          <w:rFonts w:eastAsia="Times New Roman" w:cs="Times New Roman"/>
          <w:u w:val="none"/>
          <w:lang w:val="en"/>
        </w:rPr>
        <w:t>(</w:t>
      </w:r>
      <w:proofErr w:type="spellStart"/>
      <w:r w:rsidRPr="00C138DE">
        <w:rPr>
          <w:rStyle w:val="Hyperlink"/>
          <w:rFonts w:eastAsia="Times New Roman" w:cs="Times New Roman"/>
          <w:u w:val="none"/>
          <w:lang w:val="en"/>
        </w:rPr>
        <w:t>Grobbee</w:t>
      </w:r>
      <w:proofErr w:type="spellEnd"/>
      <w:r w:rsidRPr="00C138DE">
        <w:rPr>
          <w:rStyle w:val="Hyperlink"/>
          <w:rFonts w:eastAsia="Times New Roman" w:cs="Times New Roman"/>
          <w:u w:val="none"/>
          <w:lang w:val="en"/>
        </w:rPr>
        <w:t xml:space="preserve"> &amp; Hoes, 2014)</w:t>
      </w:r>
      <w:bookmarkEnd w:id="1"/>
      <w:r w:rsidR="009C2791" w:rsidRPr="00C138DE">
        <w:rPr>
          <w:rFonts w:eastAsia="Times New Roman" w:cs="Times New Roman"/>
          <w:lang w:val="en"/>
        </w:rPr>
        <w:fldChar w:fldCharType="end"/>
      </w:r>
      <w:r w:rsidRPr="00C138DE">
        <w:rPr>
          <w:rFonts w:eastAsia="Times New Roman" w:cs="Times New Roman"/>
          <w:lang w:val="en"/>
        </w:rPr>
        <w:t>. The protocol received ethical clearance from the institutional review board of the Faculty of Medicine, Universitas Wijaya Kusuma Surabaya (reference No. 72/SLE/FK/UWKS/2025).</w:t>
      </w:r>
    </w:p>
    <w:p w14:paraId="3A260BCB" w14:textId="77777777" w:rsidR="00285A12" w:rsidRPr="00C138DE" w:rsidRDefault="00A663DD" w:rsidP="00A663DD">
      <w:pPr>
        <w:ind w:left="284" w:right="288" w:firstLine="720"/>
        <w:jc w:val="both"/>
        <w:rPr>
          <w:rFonts w:eastAsia="Times New Roman" w:cs="Times New Roman"/>
          <w:lang w:val="en"/>
        </w:rPr>
      </w:pPr>
      <w:r w:rsidRPr="00C138DE">
        <w:rPr>
          <w:rFonts w:eastAsia="Times New Roman" w:cs="Times New Roman"/>
          <w:lang w:val="en"/>
        </w:rPr>
        <w:t xml:space="preserve">Data were collected through structured, interviewer-administered questionnaires in face-to-face sessions conducted by trained field staff; where clinical circumstances warranted, a primary caregiver was invited to assist. Ascertainment of cognitive frailty required concurrent evaluation across three domains (physical robustness, neurocognitive status, and functional independence) each measured using instruments validated for the Indonesian population. A participant met the diagnostic threshold for cognitive frailty only when all three criteria were present: physical frailty verified by the locally validated FRAIL scale, evidence of mild-to-moderate cognitive impairment on a validated screening tool, and preserved independence in basic daily functioning. </w:t>
      </w:r>
    </w:p>
    <w:p w14:paraId="5BD8658A" w14:textId="339D71DD" w:rsidR="00A663DD" w:rsidRPr="00C138DE" w:rsidRDefault="00A663DD" w:rsidP="00A663DD">
      <w:pPr>
        <w:ind w:left="284" w:right="288" w:firstLine="720"/>
        <w:jc w:val="both"/>
        <w:rPr>
          <w:rFonts w:eastAsia="Times New Roman" w:cs="Times New Roman"/>
          <w:lang w:val="en"/>
        </w:rPr>
      </w:pPr>
      <w:r w:rsidRPr="00C138DE">
        <w:rPr>
          <w:rFonts w:eastAsia="Times New Roman" w:cs="Times New Roman"/>
          <w:lang w:val="en"/>
        </w:rPr>
        <w:t>Variables extracted from clinical records and interview data included: (</w:t>
      </w:r>
      <w:proofErr w:type="spellStart"/>
      <w:r w:rsidRPr="00C138DE">
        <w:rPr>
          <w:rFonts w:eastAsia="Times New Roman" w:cs="Times New Roman"/>
          <w:lang w:val="en"/>
        </w:rPr>
        <w:t>i</w:t>
      </w:r>
      <w:proofErr w:type="spellEnd"/>
      <w:r w:rsidRPr="00C138DE">
        <w:rPr>
          <w:rFonts w:eastAsia="Times New Roman" w:cs="Times New Roman"/>
          <w:lang w:val="en"/>
        </w:rPr>
        <w:t xml:space="preserve">) demographic profile (sex, age, marital status, highest educational attainment); (ii) nutritional status using the Mini Nutritional Assessment–Short Form (MNA-SF); (iii) habitual physical activity (“active” defined as ≥2 exercise sessions per week); (iv) polypharmacy (simultaneous use of ≥5 medications); (v) multimorbidity burden indexed by the </w:t>
      </w:r>
      <w:proofErr w:type="spellStart"/>
      <w:r w:rsidRPr="00C138DE">
        <w:rPr>
          <w:rFonts w:eastAsia="Times New Roman" w:cs="Times New Roman"/>
          <w:lang w:val="en"/>
        </w:rPr>
        <w:t>Charlson</w:t>
      </w:r>
      <w:proofErr w:type="spellEnd"/>
      <w:r w:rsidRPr="00C138DE">
        <w:rPr>
          <w:rFonts w:eastAsia="Times New Roman" w:cs="Times New Roman"/>
          <w:lang w:val="en"/>
        </w:rPr>
        <w:t xml:space="preserve"> Comorbidity Index (CCI); (vi) any fall episode within the previous six months; (vii) presence of documented diabetic complications; and (viii) sarcopenia risk as indicated by the SARC-F screening tool (cutoff ≥4). Functional capacity was additionally assessed using the Basic Activities of Daily Living (BADL) and IADL scales. Operational definitions: a case of cognitive frailty (CF) required the co-occurrence of (1) physical frailty on the Indonesian-adapted FRAIL scale (score ≥3), (2) cognitive impairment reflected by an MMSE score &lt;24 (on a 0–30 scale), and (3) preserved basic self-care ability (BADL ≥12 out of 20). Sarcopenia was operationally defined as a SARC-F score ≥4, consistent with validated population-specific cutoffs for Asian adults. Participants were stratified as robust (FRAIL = 0), pre-frail (FRAIL 1–2), or frail (FRAIL ≥3). Statistical model for PR: because the observed outcome frequency exceeded 10% within sarcopenic strata, prevalence ratios (PR) were estimated using modified Poisson regression with a robust (sandwich) variance estimator—a method recommended for cross-sectional analyses when outcomes are not rare </w:t>
      </w:r>
      <w:bookmarkStart w:id="2" w:name="Zou"/>
      <w:r w:rsidR="007F453E" w:rsidRPr="00C138DE">
        <w:rPr>
          <w:rFonts w:eastAsia="Times New Roman" w:cs="Times New Roman"/>
          <w:lang w:val="en"/>
        </w:rPr>
        <w:fldChar w:fldCharType="begin"/>
      </w:r>
      <w:r w:rsidR="007F453E" w:rsidRPr="00C138DE">
        <w:rPr>
          <w:rFonts w:eastAsia="Times New Roman" w:cs="Times New Roman"/>
          <w:lang w:val="en"/>
        </w:rPr>
        <w:instrText>HYPERLINK  \l "Zou"</w:instrText>
      </w:r>
      <w:r w:rsidR="007F453E" w:rsidRPr="00C138DE">
        <w:rPr>
          <w:rFonts w:eastAsia="Times New Roman" w:cs="Times New Roman"/>
          <w:lang w:val="en"/>
        </w:rPr>
      </w:r>
      <w:r w:rsidR="007F453E" w:rsidRPr="00C138DE">
        <w:rPr>
          <w:rFonts w:eastAsia="Times New Roman" w:cs="Times New Roman"/>
          <w:lang w:val="en"/>
        </w:rPr>
        <w:fldChar w:fldCharType="separate"/>
      </w:r>
      <w:r w:rsidRPr="00C138DE">
        <w:rPr>
          <w:rStyle w:val="Hyperlink"/>
          <w:rFonts w:eastAsia="Times New Roman" w:cs="Times New Roman"/>
          <w:u w:val="none"/>
          <w:lang w:val="en"/>
        </w:rPr>
        <w:t>(Zou, 2004</w:t>
      </w:r>
      <w:bookmarkEnd w:id="2"/>
      <w:r w:rsidR="007F453E" w:rsidRPr="00C138DE">
        <w:rPr>
          <w:rFonts w:eastAsia="Times New Roman" w:cs="Times New Roman"/>
          <w:lang w:val="en"/>
        </w:rPr>
        <w:fldChar w:fldCharType="end"/>
      </w:r>
      <w:r w:rsidRPr="00C138DE">
        <w:rPr>
          <w:rFonts w:eastAsia="Times New Roman" w:cs="Times New Roman"/>
          <w:lang w:val="en"/>
        </w:rPr>
        <w:t xml:space="preserve">; </w:t>
      </w:r>
      <w:hyperlink w:anchor="Barros" w:history="1">
        <w:r w:rsidRPr="00C138DE">
          <w:rPr>
            <w:rStyle w:val="Hyperlink"/>
            <w:rFonts w:eastAsia="Times New Roman" w:cs="Times New Roman"/>
            <w:u w:val="none"/>
            <w:lang w:val="en"/>
          </w:rPr>
          <w:t>Barros &amp; Hirakata, 2003)</w:t>
        </w:r>
      </w:hyperlink>
      <w:r w:rsidRPr="00C138DE">
        <w:rPr>
          <w:rFonts w:eastAsia="Times New Roman" w:cs="Times New Roman"/>
          <w:lang w:val="en"/>
        </w:rPr>
        <w:t>.</w:t>
      </w:r>
    </w:p>
    <w:p w14:paraId="51EB71CA" w14:textId="17BC34A1" w:rsidR="00970DED" w:rsidRPr="00C138DE" w:rsidRDefault="00A663DD" w:rsidP="00A663DD">
      <w:pPr>
        <w:ind w:left="284" w:right="288" w:firstLine="720"/>
        <w:jc w:val="both"/>
      </w:pPr>
      <w:r w:rsidRPr="00C138DE">
        <w:rPr>
          <w:rFonts w:eastAsia="Times New Roman" w:cs="Times New Roman"/>
          <w:lang w:val="en"/>
        </w:rPr>
        <w:t>All analyses were conducted using STATA 18.0 (</w:t>
      </w:r>
      <w:proofErr w:type="spellStart"/>
      <w:r w:rsidRPr="00C138DE">
        <w:rPr>
          <w:rFonts w:eastAsia="Times New Roman" w:cs="Times New Roman"/>
          <w:lang w:val="en"/>
        </w:rPr>
        <w:t>StataCorp</w:t>
      </w:r>
      <w:proofErr w:type="spellEnd"/>
      <w:r w:rsidRPr="00C138DE">
        <w:rPr>
          <w:rFonts w:eastAsia="Times New Roman" w:cs="Times New Roman"/>
          <w:lang w:val="en"/>
        </w:rPr>
        <w:t xml:space="preserve"> LLC, College Station, TX, USA). Participant characteristics were summarized using standard descriptive statistics. The association between each candidate explanatory variable and cognitive frailty (CF) status was first examined using Chi-square testing; variables with p ≤ 0.25 were subsequently entered into a multivariable modified Poisson regression model with robust variance to identify independently associated determinants and estimate adjusted prevalence ratios (PR).</w:t>
      </w:r>
    </w:p>
    <w:p w14:paraId="7E1ADD4A" w14:textId="77777777" w:rsidR="00AD17B1" w:rsidRPr="00C138DE" w:rsidRDefault="00AD17B1" w:rsidP="00AD17B1">
      <w:pPr>
        <w:ind w:left="284" w:right="288" w:firstLine="720"/>
        <w:jc w:val="both"/>
        <w:rPr>
          <w:rFonts w:eastAsia="Times New Roman" w:cs="Times New Roman"/>
          <w:b/>
          <w:bCs/>
          <w:lang w:val="en"/>
        </w:rPr>
      </w:pPr>
    </w:p>
    <w:p w14:paraId="7B3E2E16" w14:textId="77777777" w:rsidR="00C317C4" w:rsidRPr="00C138DE" w:rsidRDefault="00C317C4" w:rsidP="003672CA">
      <w:pPr>
        <w:widowControl/>
        <w:suppressAutoHyphens/>
        <w:jc w:val="center"/>
        <w:rPr>
          <w:b/>
          <w:bCs/>
          <w:lang w:eastAsia="ar-SA"/>
        </w:rPr>
      </w:pPr>
      <w:r w:rsidRPr="00C138DE">
        <w:rPr>
          <w:b/>
          <w:bCs/>
          <w:lang w:eastAsia="ar-SA"/>
        </w:rPr>
        <w:t>RESULTS AND DISCUSSION</w:t>
      </w:r>
    </w:p>
    <w:p w14:paraId="04A04D36" w14:textId="77777777" w:rsidR="00E93CFB" w:rsidRPr="00C138DE" w:rsidRDefault="00BC6FAF" w:rsidP="00970DED">
      <w:pPr>
        <w:ind w:left="284" w:right="288" w:firstLine="720"/>
        <w:jc w:val="both"/>
        <w:rPr>
          <w:rFonts w:eastAsia="Times New Roman" w:cs="Times New Roman"/>
          <w:lang w:val="id-ID"/>
        </w:rPr>
      </w:pPr>
      <w:proofErr w:type="spellStart"/>
      <w:r w:rsidRPr="00C138DE">
        <w:rPr>
          <w:rFonts w:eastAsia="Times New Roman" w:cs="Times New Roman"/>
          <w:lang w:val="id-ID"/>
        </w:rPr>
        <w:t>Of</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281 </w:t>
      </w:r>
      <w:proofErr w:type="spellStart"/>
      <w:r w:rsidRPr="00C138DE">
        <w:rPr>
          <w:rFonts w:eastAsia="Times New Roman" w:cs="Times New Roman"/>
          <w:lang w:val="id-ID"/>
        </w:rPr>
        <w:t>enrolled</w:t>
      </w:r>
      <w:proofErr w:type="spellEnd"/>
      <w:r w:rsidRPr="00C138DE">
        <w:rPr>
          <w:rFonts w:eastAsia="Times New Roman" w:cs="Times New Roman"/>
          <w:lang w:val="id-ID"/>
        </w:rPr>
        <w:t xml:space="preserve"> </w:t>
      </w:r>
      <w:proofErr w:type="spellStart"/>
      <w:r w:rsidRPr="00C138DE">
        <w:rPr>
          <w:rFonts w:eastAsia="Times New Roman" w:cs="Times New Roman"/>
          <w:lang w:val="id-ID"/>
        </w:rPr>
        <w:t>individuals</w:t>
      </w:r>
      <w:proofErr w:type="spellEnd"/>
      <w:r w:rsidRPr="00C138DE">
        <w:rPr>
          <w:rFonts w:eastAsia="Times New Roman" w:cs="Times New Roman"/>
          <w:lang w:val="id-ID"/>
        </w:rPr>
        <w:t xml:space="preserve">, </w:t>
      </w:r>
      <w:proofErr w:type="spellStart"/>
      <w:r w:rsidRPr="00C138DE">
        <w:rPr>
          <w:rFonts w:eastAsia="Times New Roman" w:cs="Times New Roman"/>
          <w:lang w:val="id-ID"/>
        </w:rPr>
        <w:t>women</w:t>
      </w:r>
      <w:proofErr w:type="spellEnd"/>
      <w:r w:rsidRPr="00C138DE">
        <w:rPr>
          <w:rFonts w:eastAsia="Times New Roman" w:cs="Times New Roman"/>
          <w:lang w:val="id-ID"/>
        </w:rPr>
        <w:t xml:space="preserve"> </w:t>
      </w:r>
      <w:proofErr w:type="spellStart"/>
      <w:r w:rsidRPr="00C138DE">
        <w:rPr>
          <w:rFonts w:eastAsia="Times New Roman" w:cs="Times New Roman"/>
          <w:lang w:val="id-ID"/>
        </w:rPr>
        <w:t>constituted</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majority</w:t>
      </w:r>
      <w:proofErr w:type="spellEnd"/>
      <w:r w:rsidRPr="00C138DE">
        <w:rPr>
          <w:rFonts w:eastAsia="Times New Roman" w:cs="Times New Roman"/>
          <w:lang w:val="id-ID"/>
        </w:rPr>
        <w:t xml:space="preserve"> </w:t>
      </w:r>
      <w:proofErr w:type="spellStart"/>
      <w:r w:rsidRPr="00C138DE">
        <w:rPr>
          <w:rFonts w:eastAsia="Times New Roman" w:cs="Times New Roman"/>
          <w:lang w:val="id-ID"/>
        </w:rPr>
        <w:t>at</w:t>
      </w:r>
      <w:proofErr w:type="spellEnd"/>
      <w:r w:rsidRPr="00C138DE">
        <w:rPr>
          <w:rFonts w:eastAsia="Times New Roman" w:cs="Times New Roman"/>
          <w:lang w:val="id-ID"/>
        </w:rPr>
        <w:t xml:space="preserve"> 68%. </w:t>
      </w:r>
      <w:proofErr w:type="spellStart"/>
      <w:r w:rsidRPr="00C138DE">
        <w:rPr>
          <w:rFonts w:eastAsia="Times New Roman" w:cs="Times New Roman"/>
          <w:lang w:val="id-ID"/>
        </w:rPr>
        <w:t>Sixteen</w:t>
      </w:r>
      <w:proofErr w:type="spellEnd"/>
      <w:r w:rsidRPr="00C138DE">
        <w:rPr>
          <w:rFonts w:eastAsia="Times New Roman" w:cs="Times New Roman"/>
          <w:lang w:val="id-ID"/>
        </w:rPr>
        <w:t xml:space="preserve"> </w:t>
      </w:r>
      <w:proofErr w:type="spellStart"/>
      <w:r w:rsidRPr="00C138DE">
        <w:rPr>
          <w:rFonts w:eastAsia="Times New Roman" w:cs="Times New Roman"/>
          <w:lang w:val="id-ID"/>
        </w:rPr>
        <w:t>participants</w:t>
      </w:r>
      <w:proofErr w:type="spellEnd"/>
      <w:r w:rsidRPr="00C138DE">
        <w:rPr>
          <w:rFonts w:eastAsia="Times New Roman" w:cs="Times New Roman"/>
          <w:lang w:val="id-ID"/>
        </w:rPr>
        <w:t xml:space="preserve"> (5.7%) </w:t>
      </w:r>
      <w:proofErr w:type="spellStart"/>
      <w:r w:rsidRPr="00C138DE">
        <w:rPr>
          <w:rFonts w:eastAsia="Times New Roman" w:cs="Times New Roman"/>
          <w:lang w:val="id-ID"/>
        </w:rPr>
        <w:t>screened</w:t>
      </w:r>
      <w:proofErr w:type="spellEnd"/>
      <w:r w:rsidRPr="00C138DE">
        <w:rPr>
          <w:rFonts w:eastAsia="Times New Roman" w:cs="Times New Roman"/>
          <w:lang w:val="id-ID"/>
        </w:rPr>
        <w:t xml:space="preserve"> </w:t>
      </w:r>
      <w:proofErr w:type="spellStart"/>
      <w:r w:rsidRPr="00C138DE">
        <w:rPr>
          <w:rFonts w:eastAsia="Times New Roman" w:cs="Times New Roman"/>
          <w:lang w:val="id-ID"/>
        </w:rPr>
        <w:t>positive</w:t>
      </w:r>
      <w:proofErr w:type="spellEnd"/>
      <w:r w:rsidRPr="00C138DE">
        <w:rPr>
          <w:rFonts w:eastAsia="Times New Roman" w:cs="Times New Roman"/>
          <w:lang w:val="id-ID"/>
        </w:rPr>
        <w:t xml:space="preserve"> </w:t>
      </w:r>
      <w:proofErr w:type="spellStart"/>
      <w:r w:rsidRPr="00C138DE">
        <w:rPr>
          <w:rFonts w:eastAsia="Times New Roman" w:cs="Times New Roman"/>
          <w:lang w:val="id-ID"/>
        </w:rPr>
        <w:t>for</w:t>
      </w:r>
      <w:proofErr w:type="spellEnd"/>
      <w:r w:rsidRPr="00C138DE">
        <w:rPr>
          <w:rFonts w:eastAsia="Times New Roman" w:cs="Times New Roman"/>
          <w:lang w:val="id-ID"/>
        </w:rPr>
        <w:t xml:space="preserve"> </w:t>
      </w:r>
      <w:proofErr w:type="spellStart"/>
      <w:r w:rsidRPr="00C138DE">
        <w:rPr>
          <w:rFonts w:eastAsia="Times New Roman" w:cs="Times New Roman"/>
          <w:lang w:val="id-ID"/>
        </w:rPr>
        <w:t>cognitive</w:t>
      </w:r>
      <w:proofErr w:type="spellEnd"/>
      <w:r w:rsidRPr="00C138DE">
        <w:rPr>
          <w:rFonts w:eastAsia="Times New Roman" w:cs="Times New Roman"/>
          <w:lang w:val="id-ID"/>
        </w:rPr>
        <w:t xml:space="preserve"> </w:t>
      </w:r>
      <w:proofErr w:type="spellStart"/>
      <w:r w:rsidRPr="00C138DE">
        <w:rPr>
          <w:rFonts w:eastAsia="Times New Roman" w:cs="Times New Roman"/>
          <w:lang w:val="id-ID"/>
        </w:rPr>
        <w:t>impairment</w:t>
      </w:r>
      <w:proofErr w:type="spellEnd"/>
      <w:r w:rsidRPr="00C138DE">
        <w:rPr>
          <w:rFonts w:eastAsia="Times New Roman" w:cs="Times New Roman"/>
          <w:lang w:val="id-ID"/>
        </w:rPr>
        <w:t xml:space="preserve">. </w:t>
      </w:r>
      <w:proofErr w:type="spellStart"/>
      <w:r w:rsidRPr="00C138DE">
        <w:rPr>
          <w:rFonts w:eastAsia="Times New Roman" w:cs="Times New Roman"/>
          <w:lang w:val="id-ID"/>
        </w:rPr>
        <w:t>When</w:t>
      </w:r>
      <w:proofErr w:type="spellEnd"/>
      <w:r w:rsidRPr="00C138DE">
        <w:rPr>
          <w:rFonts w:eastAsia="Times New Roman" w:cs="Times New Roman"/>
          <w:lang w:val="id-ID"/>
        </w:rPr>
        <w:t xml:space="preserve"> </w:t>
      </w:r>
      <w:proofErr w:type="spellStart"/>
      <w:r w:rsidRPr="00C138DE">
        <w:rPr>
          <w:rFonts w:eastAsia="Times New Roman" w:cs="Times New Roman"/>
          <w:lang w:val="id-ID"/>
        </w:rPr>
        <w:t>categorized</w:t>
      </w:r>
      <w:proofErr w:type="spellEnd"/>
      <w:r w:rsidRPr="00C138DE">
        <w:rPr>
          <w:rFonts w:eastAsia="Times New Roman" w:cs="Times New Roman"/>
          <w:lang w:val="id-ID"/>
        </w:rPr>
        <w:t xml:space="preserve"> </w:t>
      </w:r>
      <w:proofErr w:type="spellStart"/>
      <w:r w:rsidRPr="00C138DE">
        <w:rPr>
          <w:rFonts w:eastAsia="Times New Roman" w:cs="Times New Roman"/>
          <w:lang w:val="id-ID"/>
        </w:rPr>
        <w:t>by</w:t>
      </w:r>
      <w:proofErr w:type="spellEnd"/>
      <w:r w:rsidRPr="00C138DE">
        <w:rPr>
          <w:rFonts w:eastAsia="Times New Roman" w:cs="Times New Roman"/>
          <w:lang w:val="id-ID"/>
        </w:rPr>
        <w:t xml:space="preserve"> </w:t>
      </w:r>
      <w:proofErr w:type="spellStart"/>
      <w:r w:rsidRPr="00C138DE">
        <w:rPr>
          <w:rFonts w:eastAsia="Times New Roman" w:cs="Times New Roman"/>
          <w:lang w:val="id-ID"/>
        </w:rPr>
        <w:t>frailty</w:t>
      </w:r>
      <w:proofErr w:type="spellEnd"/>
      <w:r w:rsidRPr="00C138DE">
        <w:rPr>
          <w:rFonts w:eastAsia="Times New Roman" w:cs="Times New Roman"/>
          <w:lang w:val="id-ID"/>
        </w:rPr>
        <w:t xml:space="preserve"> status,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pre-frail</w:t>
      </w:r>
      <w:proofErr w:type="spellEnd"/>
      <w:r w:rsidRPr="00C138DE">
        <w:rPr>
          <w:rFonts w:eastAsia="Times New Roman" w:cs="Times New Roman"/>
          <w:lang w:val="id-ID"/>
        </w:rPr>
        <w:t xml:space="preserve"> </w:t>
      </w:r>
      <w:proofErr w:type="spellStart"/>
      <w:r w:rsidRPr="00C138DE">
        <w:rPr>
          <w:rFonts w:eastAsia="Times New Roman" w:cs="Times New Roman"/>
          <w:lang w:val="id-ID"/>
        </w:rPr>
        <w:t>group</w:t>
      </w:r>
      <w:proofErr w:type="spellEnd"/>
      <w:r w:rsidRPr="00C138DE">
        <w:rPr>
          <w:rFonts w:eastAsia="Times New Roman" w:cs="Times New Roman"/>
          <w:lang w:val="id-ID"/>
        </w:rPr>
        <w:t xml:space="preserve"> </w:t>
      </w:r>
      <w:proofErr w:type="spellStart"/>
      <w:r w:rsidRPr="00C138DE">
        <w:rPr>
          <w:rFonts w:eastAsia="Times New Roman" w:cs="Times New Roman"/>
          <w:lang w:val="id-ID"/>
        </w:rPr>
        <w:t>was</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largest</w:t>
      </w:r>
      <w:proofErr w:type="spellEnd"/>
      <w:r w:rsidRPr="00C138DE">
        <w:rPr>
          <w:rFonts w:eastAsia="Times New Roman" w:cs="Times New Roman"/>
          <w:lang w:val="id-ID"/>
        </w:rPr>
        <w:t xml:space="preserve"> (49.5%), </w:t>
      </w:r>
      <w:proofErr w:type="spellStart"/>
      <w:r w:rsidRPr="00C138DE">
        <w:rPr>
          <w:rFonts w:eastAsia="Times New Roman" w:cs="Times New Roman"/>
          <w:lang w:val="id-ID"/>
        </w:rPr>
        <w:t>followed</w:t>
      </w:r>
      <w:proofErr w:type="spellEnd"/>
      <w:r w:rsidRPr="00C138DE">
        <w:rPr>
          <w:rFonts w:eastAsia="Times New Roman" w:cs="Times New Roman"/>
          <w:lang w:val="id-ID"/>
        </w:rPr>
        <w:t xml:space="preserve"> </w:t>
      </w:r>
      <w:proofErr w:type="spellStart"/>
      <w:r w:rsidRPr="00C138DE">
        <w:rPr>
          <w:rFonts w:eastAsia="Times New Roman" w:cs="Times New Roman"/>
          <w:lang w:val="id-ID"/>
        </w:rPr>
        <w:t>by</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robust</w:t>
      </w:r>
      <w:proofErr w:type="spellEnd"/>
      <w:r w:rsidRPr="00C138DE">
        <w:rPr>
          <w:rFonts w:eastAsia="Times New Roman" w:cs="Times New Roman"/>
          <w:lang w:val="id-ID"/>
        </w:rPr>
        <w:t xml:space="preserve"> </w:t>
      </w:r>
      <w:proofErr w:type="spellStart"/>
      <w:r w:rsidRPr="00C138DE">
        <w:rPr>
          <w:rFonts w:eastAsia="Times New Roman" w:cs="Times New Roman"/>
          <w:lang w:val="id-ID"/>
        </w:rPr>
        <w:t>group</w:t>
      </w:r>
      <w:proofErr w:type="spellEnd"/>
      <w:r w:rsidRPr="00C138DE">
        <w:rPr>
          <w:rFonts w:eastAsia="Times New Roman" w:cs="Times New Roman"/>
          <w:lang w:val="id-ID"/>
        </w:rPr>
        <w:t xml:space="preserve"> </w:t>
      </w:r>
      <w:proofErr w:type="spellStart"/>
      <w:r w:rsidRPr="00C138DE">
        <w:rPr>
          <w:rFonts w:eastAsia="Times New Roman" w:cs="Times New Roman"/>
          <w:lang w:val="id-ID"/>
        </w:rPr>
        <w:t>at</w:t>
      </w:r>
      <w:proofErr w:type="spellEnd"/>
      <w:r w:rsidRPr="00C138DE">
        <w:rPr>
          <w:rFonts w:eastAsia="Times New Roman" w:cs="Times New Roman"/>
          <w:lang w:val="id-ID"/>
        </w:rPr>
        <w:t xml:space="preserve"> 42.7% (</w:t>
      </w:r>
      <w:proofErr w:type="spellStart"/>
      <w:r w:rsidRPr="00C138DE">
        <w:rPr>
          <w:rFonts w:eastAsia="Times New Roman" w:cs="Times New Roman"/>
          <w:lang w:val="id-ID"/>
        </w:rPr>
        <w:t>Table</w:t>
      </w:r>
      <w:proofErr w:type="spellEnd"/>
      <w:r w:rsidRPr="00C138DE">
        <w:rPr>
          <w:rFonts w:eastAsia="Times New Roman" w:cs="Times New Roman"/>
          <w:lang w:val="id-ID"/>
        </w:rPr>
        <w:t xml:space="preserve"> 2).</w:t>
      </w:r>
    </w:p>
    <w:p w14:paraId="4BF49961" w14:textId="77777777" w:rsidR="00E93CFB" w:rsidRPr="00C138DE" w:rsidRDefault="00E93CFB" w:rsidP="004B7A1B">
      <w:pPr>
        <w:ind w:right="288"/>
        <w:jc w:val="both"/>
        <w:rPr>
          <w:rFonts w:eastAsia="Times New Roman" w:cs="Times New Roman"/>
          <w:lang w:val="id-ID"/>
        </w:rPr>
      </w:pPr>
    </w:p>
    <w:p w14:paraId="3DE1470E" w14:textId="6AF8BF1D" w:rsidR="00E93CFB" w:rsidRPr="00C138DE" w:rsidRDefault="00E93CFB" w:rsidP="00E93CFB">
      <w:pPr>
        <w:ind w:left="284" w:right="288"/>
        <w:jc w:val="center"/>
        <w:rPr>
          <w:rFonts w:eastAsia="Times New Roman" w:cs="Times New Roman"/>
          <w:lang w:val="en"/>
        </w:rPr>
      </w:pPr>
      <w:r w:rsidRPr="00C138DE">
        <w:rPr>
          <w:rFonts w:eastAsia="Times New Roman" w:cs="Times New Roman"/>
          <w:b/>
          <w:bCs/>
          <w:lang w:val="en"/>
        </w:rPr>
        <w:t xml:space="preserve">Table 1. </w:t>
      </w:r>
      <w:r w:rsidRPr="00C138DE">
        <w:rPr>
          <w:rFonts w:eastAsia="Times New Roman" w:cs="Times New Roman"/>
          <w:lang w:val="en"/>
        </w:rPr>
        <w:t>Cognitive Frailty Component Distribution</w:t>
      </w:r>
    </w:p>
    <w:tbl>
      <w:tblPr>
        <w:tblStyle w:val="PlainTable2"/>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766"/>
        <w:gridCol w:w="1470"/>
        <w:gridCol w:w="1812"/>
        <w:gridCol w:w="1792"/>
        <w:gridCol w:w="1880"/>
      </w:tblGrid>
      <w:tr w:rsidR="00E93CFB" w:rsidRPr="00C138DE" w14:paraId="02FD1B3E" w14:textId="77777777" w:rsidTr="004E55B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66" w:type="dxa"/>
            <w:tcBorders>
              <w:bottom w:val="none" w:sz="0" w:space="0" w:color="auto"/>
            </w:tcBorders>
            <w:hideMark/>
          </w:tcPr>
          <w:p w14:paraId="747B48AC" w14:textId="77777777" w:rsidR="00E93CFB" w:rsidRPr="00C138DE" w:rsidRDefault="00E93CFB" w:rsidP="00E93CFB">
            <w:pPr>
              <w:ind w:left="18"/>
              <w:jc w:val="center"/>
              <w:rPr>
                <w:rFonts w:eastAsia="Times New Roman" w:cs="Times New Roman"/>
                <w:lang w:val="en-ID"/>
              </w:rPr>
            </w:pPr>
            <w:r w:rsidRPr="00C138DE">
              <w:rPr>
                <w:rFonts w:eastAsia="Times New Roman" w:cs="Times New Roman"/>
                <w:lang w:val="en-ID"/>
              </w:rPr>
              <w:t>CF Component</w:t>
            </w:r>
          </w:p>
        </w:tc>
        <w:tc>
          <w:tcPr>
            <w:tcW w:w="1470" w:type="dxa"/>
            <w:tcBorders>
              <w:bottom w:val="none" w:sz="0" w:space="0" w:color="auto"/>
            </w:tcBorders>
            <w:hideMark/>
          </w:tcPr>
          <w:p w14:paraId="389FE373" w14:textId="77777777" w:rsidR="00E93CFB" w:rsidRPr="00C138DE" w:rsidRDefault="00E93CFB" w:rsidP="00E93CFB">
            <w:pPr>
              <w:ind w:left="18"/>
              <w:jc w:val="center"/>
              <w:cnfStyle w:val="100000000000" w:firstRow="1" w:lastRow="0" w:firstColumn="0" w:lastColumn="0" w:oddVBand="0" w:evenVBand="0" w:oddHBand="0" w:evenHBand="0" w:firstRowFirstColumn="0" w:firstRowLastColumn="0" w:lastRowFirstColumn="0" w:lastRowLastColumn="0"/>
              <w:rPr>
                <w:rFonts w:eastAsia="Times New Roman" w:cs="Times New Roman"/>
                <w:lang w:val="en-ID"/>
              </w:rPr>
            </w:pPr>
            <w:r w:rsidRPr="00C138DE">
              <w:rPr>
                <w:rFonts w:eastAsia="Times New Roman" w:cs="Times New Roman"/>
                <w:lang w:val="en-ID"/>
              </w:rPr>
              <w:t>CF-Positive (n=9)</w:t>
            </w:r>
          </w:p>
        </w:tc>
        <w:tc>
          <w:tcPr>
            <w:tcW w:w="0" w:type="auto"/>
            <w:tcBorders>
              <w:bottom w:val="none" w:sz="0" w:space="0" w:color="auto"/>
            </w:tcBorders>
            <w:hideMark/>
          </w:tcPr>
          <w:p w14:paraId="68E57B15" w14:textId="77777777" w:rsidR="00E93CFB" w:rsidRPr="00C138DE" w:rsidRDefault="00E93CFB" w:rsidP="00E93CFB">
            <w:pPr>
              <w:ind w:left="18"/>
              <w:jc w:val="center"/>
              <w:cnfStyle w:val="100000000000" w:firstRow="1" w:lastRow="0" w:firstColumn="0" w:lastColumn="0" w:oddVBand="0" w:evenVBand="0" w:oddHBand="0" w:evenHBand="0" w:firstRowFirstColumn="0" w:firstRowLastColumn="0" w:lastRowFirstColumn="0" w:lastRowLastColumn="0"/>
              <w:rPr>
                <w:rFonts w:eastAsia="Times New Roman" w:cs="Times New Roman"/>
                <w:lang w:val="en-ID"/>
              </w:rPr>
            </w:pPr>
            <w:r w:rsidRPr="00C138DE">
              <w:rPr>
                <w:rFonts w:eastAsia="Times New Roman" w:cs="Times New Roman"/>
                <w:lang w:val="en-ID"/>
              </w:rPr>
              <w:t>CF-Positive (%)</w:t>
            </w:r>
          </w:p>
        </w:tc>
        <w:tc>
          <w:tcPr>
            <w:tcW w:w="1792" w:type="dxa"/>
            <w:tcBorders>
              <w:bottom w:val="none" w:sz="0" w:space="0" w:color="auto"/>
            </w:tcBorders>
            <w:hideMark/>
          </w:tcPr>
          <w:p w14:paraId="46AFB955" w14:textId="77777777" w:rsidR="00E93CFB" w:rsidRPr="00C138DE" w:rsidRDefault="00E93CFB" w:rsidP="00E93CFB">
            <w:pPr>
              <w:ind w:left="18"/>
              <w:jc w:val="center"/>
              <w:cnfStyle w:val="100000000000" w:firstRow="1" w:lastRow="0" w:firstColumn="0" w:lastColumn="0" w:oddVBand="0" w:evenVBand="0" w:oddHBand="0" w:evenHBand="0" w:firstRowFirstColumn="0" w:firstRowLastColumn="0" w:lastRowFirstColumn="0" w:lastRowLastColumn="0"/>
              <w:rPr>
                <w:rFonts w:eastAsia="Times New Roman" w:cs="Times New Roman"/>
                <w:lang w:val="en-ID"/>
              </w:rPr>
            </w:pPr>
            <w:r w:rsidRPr="00C138DE">
              <w:rPr>
                <w:rFonts w:eastAsia="Times New Roman" w:cs="Times New Roman"/>
                <w:lang w:val="en-ID"/>
              </w:rPr>
              <w:t>CF-Negative (n=272)</w:t>
            </w:r>
          </w:p>
        </w:tc>
        <w:tc>
          <w:tcPr>
            <w:tcW w:w="0" w:type="auto"/>
            <w:tcBorders>
              <w:bottom w:val="none" w:sz="0" w:space="0" w:color="auto"/>
            </w:tcBorders>
            <w:hideMark/>
          </w:tcPr>
          <w:p w14:paraId="5E65D083" w14:textId="77777777" w:rsidR="00E93CFB" w:rsidRPr="00C138DE" w:rsidRDefault="00E93CFB" w:rsidP="00E93CFB">
            <w:pPr>
              <w:ind w:left="18"/>
              <w:jc w:val="center"/>
              <w:cnfStyle w:val="100000000000" w:firstRow="1" w:lastRow="0" w:firstColumn="0" w:lastColumn="0" w:oddVBand="0" w:evenVBand="0" w:oddHBand="0" w:evenHBand="0" w:firstRowFirstColumn="0" w:firstRowLastColumn="0" w:lastRowFirstColumn="0" w:lastRowLastColumn="0"/>
              <w:rPr>
                <w:rFonts w:eastAsia="Times New Roman" w:cs="Times New Roman"/>
                <w:lang w:val="en-ID"/>
              </w:rPr>
            </w:pPr>
            <w:r w:rsidRPr="00C138DE">
              <w:rPr>
                <w:rFonts w:eastAsia="Times New Roman" w:cs="Times New Roman"/>
                <w:lang w:val="en-ID"/>
              </w:rPr>
              <w:t>CF-Negative (%)</w:t>
            </w:r>
          </w:p>
        </w:tc>
      </w:tr>
      <w:tr w:rsidR="00E93CFB" w:rsidRPr="00C138DE" w14:paraId="0E9714D5" w14:textId="77777777" w:rsidTr="004E55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66" w:type="dxa"/>
            <w:tcBorders>
              <w:top w:val="none" w:sz="0" w:space="0" w:color="auto"/>
              <w:bottom w:val="none" w:sz="0" w:space="0" w:color="auto"/>
            </w:tcBorders>
            <w:hideMark/>
          </w:tcPr>
          <w:p w14:paraId="430AD158" w14:textId="77777777" w:rsidR="00E93CFB" w:rsidRPr="00C138DE" w:rsidRDefault="00E93CFB" w:rsidP="00E93CFB">
            <w:pPr>
              <w:ind w:left="18"/>
              <w:jc w:val="center"/>
              <w:rPr>
                <w:rFonts w:eastAsia="Times New Roman" w:cs="Times New Roman"/>
                <w:b w:val="0"/>
                <w:bCs w:val="0"/>
                <w:lang w:val="en-ID"/>
              </w:rPr>
            </w:pPr>
            <w:r w:rsidRPr="00C138DE">
              <w:rPr>
                <w:rFonts w:eastAsia="Times New Roman" w:cs="Times New Roman"/>
                <w:b w:val="0"/>
                <w:bCs w:val="0"/>
                <w:lang w:val="en-ID"/>
              </w:rPr>
              <w:t>Physical Frailty</w:t>
            </w:r>
          </w:p>
        </w:tc>
        <w:tc>
          <w:tcPr>
            <w:tcW w:w="1470" w:type="dxa"/>
            <w:tcBorders>
              <w:top w:val="none" w:sz="0" w:space="0" w:color="auto"/>
              <w:bottom w:val="none" w:sz="0" w:space="0" w:color="auto"/>
            </w:tcBorders>
            <w:hideMark/>
          </w:tcPr>
          <w:p w14:paraId="110E032D" w14:textId="77777777" w:rsidR="00E93CFB" w:rsidRPr="00C138DE" w:rsidRDefault="00E93CFB" w:rsidP="00E93CFB">
            <w:pPr>
              <w:ind w:left="18"/>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lang w:val="en-ID"/>
              </w:rPr>
            </w:pPr>
            <w:r w:rsidRPr="00C138DE">
              <w:rPr>
                <w:rFonts w:eastAsia="Times New Roman" w:cs="Times New Roman"/>
                <w:b/>
                <w:bCs/>
                <w:lang w:val="en-ID"/>
              </w:rPr>
              <w:t>6</w:t>
            </w:r>
          </w:p>
        </w:tc>
        <w:tc>
          <w:tcPr>
            <w:tcW w:w="0" w:type="auto"/>
            <w:tcBorders>
              <w:top w:val="none" w:sz="0" w:space="0" w:color="auto"/>
              <w:bottom w:val="none" w:sz="0" w:space="0" w:color="auto"/>
            </w:tcBorders>
            <w:hideMark/>
          </w:tcPr>
          <w:p w14:paraId="619C9689" w14:textId="77777777" w:rsidR="00E93CFB" w:rsidRPr="00C138DE" w:rsidRDefault="00E93CFB" w:rsidP="00E93CFB">
            <w:pPr>
              <w:ind w:left="18"/>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lang w:val="en-ID"/>
              </w:rPr>
            </w:pPr>
            <w:r w:rsidRPr="00C138DE">
              <w:rPr>
                <w:rFonts w:eastAsia="Times New Roman" w:cs="Times New Roman"/>
                <w:b/>
                <w:bCs/>
                <w:lang w:val="en-ID"/>
              </w:rPr>
              <w:t>66.7</w:t>
            </w:r>
          </w:p>
        </w:tc>
        <w:tc>
          <w:tcPr>
            <w:tcW w:w="1792" w:type="dxa"/>
            <w:tcBorders>
              <w:top w:val="none" w:sz="0" w:space="0" w:color="auto"/>
              <w:bottom w:val="none" w:sz="0" w:space="0" w:color="auto"/>
            </w:tcBorders>
            <w:hideMark/>
          </w:tcPr>
          <w:p w14:paraId="4F47E0A8" w14:textId="77777777" w:rsidR="00E93CFB" w:rsidRPr="00C138DE" w:rsidRDefault="00E93CFB" w:rsidP="00E93CFB">
            <w:pPr>
              <w:ind w:left="18"/>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lang w:val="en-ID"/>
              </w:rPr>
            </w:pPr>
            <w:r w:rsidRPr="00C138DE">
              <w:rPr>
                <w:rFonts w:eastAsia="Times New Roman" w:cs="Times New Roman"/>
                <w:b/>
                <w:bCs/>
                <w:lang w:val="en-ID"/>
              </w:rPr>
              <w:t>46</w:t>
            </w:r>
          </w:p>
        </w:tc>
        <w:tc>
          <w:tcPr>
            <w:tcW w:w="0" w:type="auto"/>
            <w:tcBorders>
              <w:top w:val="none" w:sz="0" w:space="0" w:color="auto"/>
              <w:bottom w:val="none" w:sz="0" w:space="0" w:color="auto"/>
            </w:tcBorders>
            <w:hideMark/>
          </w:tcPr>
          <w:p w14:paraId="13827389" w14:textId="77777777" w:rsidR="00E93CFB" w:rsidRPr="00C138DE" w:rsidRDefault="00E93CFB" w:rsidP="00E93CFB">
            <w:pPr>
              <w:ind w:left="18"/>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lang w:val="en-ID"/>
              </w:rPr>
            </w:pPr>
            <w:r w:rsidRPr="00C138DE">
              <w:rPr>
                <w:rFonts w:eastAsia="Times New Roman" w:cs="Times New Roman"/>
                <w:b/>
                <w:bCs/>
                <w:lang w:val="en-ID"/>
              </w:rPr>
              <w:t>16.9</w:t>
            </w:r>
          </w:p>
        </w:tc>
      </w:tr>
      <w:tr w:rsidR="00E93CFB" w:rsidRPr="00C138DE" w14:paraId="68AD0F00" w14:textId="77777777" w:rsidTr="004E55BE">
        <w:trPr>
          <w:jc w:val="center"/>
        </w:trPr>
        <w:tc>
          <w:tcPr>
            <w:cnfStyle w:val="001000000000" w:firstRow="0" w:lastRow="0" w:firstColumn="1" w:lastColumn="0" w:oddVBand="0" w:evenVBand="0" w:oddHBand="0" w:evenHBand="0" w:firstRowFirstColumn="0" w:firstRowLastColumn="0" w:lastRowFirstColumn="0" w:lastRowLastColumn="0"/>
            <w:tcW w:w="1766" w:type="dxa"/>
            <w:hideMark/>
          </w:tcPr>
          <w:p w14:paraId="5506DC7C" w14:textId="77777777" w:rsidR="00E93CFB" w:rsidRPr="00C138DE" w:rsidRDefault="00E93CFB" w:rsidP="00E93CFB">
            <w:pPr>
              <w:ind w:left="18"/>
              <w:jc w:val="center"/>
              <w:rPr>
                <w:rFonts w:eastAsia="Times New Roman" w:cs="Times New Roman"/>
                <w:b w:val="0"/>
                <w:bCs w:val="0"/>
                <w:lang w:val="en-ID"/>
              </w:rPr>
            </w:pPr>
            <w:r w:rsidRPr="00C138DE">
              <w:rPr>
                <w:rFonts w:eastAsia="Times New Roman" w:cs="Times New Roman"/>
                <w:b w:val="0"/>
                <w:bCs w:val="0"/>
                <w:lang w:val="en-ID"/>
              </w:rPr>
              <w:t>Cognitive Impairment</w:t>
            </w:r>
          </w:p>
        </w:tc>
        <w:tc>
          <w:tcPr>
            <w:tcW w:w="1470" w:type="dxa"/>
            <w:hideMark/>
          </w:tcPr>
          <w:p w14:paraId="0345683A" w14:textId="77777777" w:rsidR="00E93CFB" w:rsidRPr="00C138DE" w:rsidRDefault="00E93CFB" w:rsidP="00E93CFB">
            <w:pPr>
              <w:ind w:left="18"/>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lang w:val="en-ID"/>
              </w:rPr>
            </w:pPr>
            <w:r w:rsidRPr="00C138DE">
              <w:rPr>
                <w:rFonts w:eastAsia="Times New Roman" w:cs="Times New Roman"/>
                <w:b/>
                <w:bCs/>
                <w:lang w:val="en-ID"/>
              </w:rPr>
              <w:t>5</w:t>
            </w:r>
          </w:p>
        </w:tc>
        <w:tc>
          <w:tcPr>
            <w:tcW w:w="0" w:type="auto"/>
            <w:hideMark/>
          </w:tcPr>
          <w:p w14:paraId="18BC311F" w14:textId="77777777" w:rsidR="00E93CFB" w:rsidRPr="00C138DE" w:rsidRDefault="00E93CFB" w:rsidP="00E93CFB">
            <w:pPr>
              <w:ind w:left="18"/>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lang w:val="en-ID"/>
              </w:rPr>
            </w:pPr>
            <w:r w:rsidRPr="00C138DE">
              <w:rPr>
                <w:rFonts w:eastAsia="Times New Roman" w:cs="Times New Roman"/>
                <w:b/>
                <w:bCs/>
                <w:lang w:val="en-ID"/>
              </w:rPr>
              <w:t>55.6</w:t>
            </w:r>
          </w:p>
        </w:tc>
        <w:tc>
          <w:tcPr>
            <w:tcW w:w="1792" w:type="dxa"/>
            <w:hideMark/>
          </w:tcPr>
          <w:p w14:paraId="06B520A6" w14:textId="77777777" w:rsidR="00E93CFB" w:rsidRPr="00C138DE" w:rsidRDefault="00E93CFB" w:rsidP="00E93CFB">
            <w:pPr>
              <w:ind w:left="18"/>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lang w:val="en-ID"/>
              </w:rPr>
            </w:pPr>
            <w:r w:rsidRPr="00C138DE">
              <w:rPr>
                <w:rFonts w:eastAsia="Times New Roman" w:cs="Times New Roman"/>
                <w:b/>
                <w:bCs/>
                <w:lang w:val="en-ID"/>
              </w:rPr>
              <w:t>11</w:t>
            </w:r>
          </w:p>
        </w:tc>
        <w:tc>
          <w:tcPr>
            <w:tcW w:w="0" w:type="auto"/>
            <w:hideMark/>
          </w:tcPr>
          <w:p w14:paraId="6DB23520" w14:textId="77777777" w:rsidR="00E93CFB" w:rsidRPr="00C138DE" w:rsidRDefault="00E93CFB" w:rsidP="00E93CFB">
            <w:pPr>
              <w:ind w:left="18"/>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lang w:val="en-ID"/>
              </w:rPr>
            </w:pPr>
            <w:r w:rsidRPr="00C138DE">
              <w:rPr>
                <w:rFonts w:eastAsia="Times New Roman" w:cs="Times New Roman"/>
                <w:b/>
                <w:bCs/>
                <w:lang w:val="en-ID"/>
              </w:rPr>
              <w:t>4.0</w:t>
            </w:r>
          </w:p>
        </w:tc>
      </w:tr>
      <w:tr w:rsidR="00E93CFB" w:rsidRPr="00C138DE" w14:paraId="78EC9730" w14:textId="77777777" w:rsidTr="004E55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66" w:type="dxa"/>
            <w:tcBorders>
              <w:top w:val="none" w:sz="0" w:space="0" w:color="auto"/>
              <w:bottom w:val="none" w:sz="0" w:space="0" w:color="auto"/>
            </w:tcBorders>
            <w:hideMark/>
          </w:tcPr>
          <w:p w14:paraId="52254EF0" w14:textId="77777777" w:rsidR="00E93CFB" w:rsidRPr="00C138DE" w:rsidRDefault="00E93CFB" w:rsidP="00E93CFB">
            <w:pPr>
              <w:ind w:left="18"/>
              <w:jc w:val="center"/>
              <w:rPr>
                <w:rFonts w:eastAsia="Times New Roman" w:cs="Times New Roman"/>
                <w:b w:val="0"/>
                <w:bCs w:val="0"/>
                <w:lang w:val="en-ID"/>
              </w:rPr>
            </w:pPr>
            <w:r w:rsidRPr="00C138DE">
              <w:rPr>
                <w:rFonts w:eastAsia="Times New Roman" w:cs="Times New Roman"/>
                <w:b w:val="0"/>
                <w:bCs w:val="0"/>
                <w:lang w:val="en-ID"/>
              </w:rPr>
              <w:t>Functional Independence</w:t>
            </w:r>
          </w:p>
        </w:tc>
        <w:tc>
          <w:tcPr>
            <w:tcW w:w="1470" w:type="dxa"/>
            <w:tcBorders>
              <w:top w:val="none" w:sz="0" w:space="0" w:color="auto"/>
              <w:bottom w:val="none" w:sz="0" w:space="0" w:color="auto"/>
            </w:tcBorders>
            <w:hideMark/>
          </w:tcPr>
          <w:p w14:paraId="7C522227" w14:textId="77777777" w:rsidR="00E93CFB" w:rsidRPr="00C138DE" w:rsidRDefault="00E93CFB" w:rsidP="00E93CFB">
            <w:pPr>
              <w:ind w:left="18"/>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lang w:val="en-ID"/>
              </w:rPr>
            </w:pPr>
            <w:r w:rsidRPr="00C138DE">
              <w:rPr>
                <w:rFonts w:eastAsia="Times New Roman" w:cs="Times New Roman"/>
                <w:b/>
                <w:bCs/>
                <w:lang w:val="en-ID"/>
              </w:rPr>
              <w:t>9</w:t>
            </w:r>
          </w:p>
        </w:tc>
        <w:tc>
          <w:tcPr>
            <w:tcW w:w="0" w:type="auto"/>
            <w:tcBorders>
              <w:top w:val="none" w:sz="0" w:space="0" w:color="auto"/>
              <w:bottom w:val="none" w:sz="0" w:space="0" w:color="auto"/>
            </w:tcBorders>
            <w:hideMark/>
          </w:tcPr>
          <w:p w14:paraId="75F5319E" w14:textId="77777777" w:rsidR="00E93CFB" w:rsidRPr="00C138DE" w:rsidRDefault="00E93CFB" w:rsidP="00E93CFB">
            <w:pPr>
              <w:ind w:left="18"/>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lang w:val="en-ID"/>
              </w:rPr>
            </w:pPr>
            <w:r w:rsidRPr="00C138DE">
              <w:rPr>
                <w:rFonts w:eastAsia="Times New Roman" w:cs="Times New Roman"/>
                <w:b/>
                <w:bCs/>
                <w:lang w:val="en-ID"/>
              </w:rPr>
              <w:t>100</w:t>
            </w:r>
          </w:p>
        </w:tc>
        <w:tc>
          <w:tcPr>
            <w:tcW w:w="1792" w:type="dxa"/>
            <w:tcBorders>
              <w:top w:val="none" w:sz="0" w:space="0" w:color="auto"/>
              <w:bottom w:val="none" w:sz="0" w:space="0" w:color="auto"/>
            </w:tcBorders>
            <w:hideMark/>
          </w:tcPr>
          <w:p w14:paraId="5A7D798D" w14:textId="77777777" w:rsidR="00E93CFB" w:rsidRPr="00C138DE" w:rsidRDefault="00E93CFB" w:rsidP="00E93CFB">
            <w:pPr>
              <w:ind w:left="18"/>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lang w:val="en-ID"/>
              </w:rPr>
            </w:pPr>
            <w:r w:rsidRPr="00C138DE">
              <w:rPr>
                <w:rFonts w:eastAsia="Times New Roman" w:cs="Times New Roman"/>
                <w:b/>
                <w:bCs/>
                <w:lang w:val="en-ID"/>
              </w:rPr>
              <w:t>272</w:t>
            </w:r>
          </w:p>
        </w:tc>
        <w:tc>
          <w:tcPr>
            <w:tcW w:w="0" w:type="auto"/>
            <w:tcBorders>
              <w:top w:val="none" w:sz="0" w:space="0" w:color="auto"/>
              <w:bottom w:val="none" w:sz="0" w:space="0" w:color="auto"/>
            </w:tcBorders>
            <w:hideMark/>
          </w:tcPr>
          <w:p w14:paraId="1AACF981" w14:textId="77777777" w:rsidR="00E93CFB" w:rsidRPr="00C138DE" w:rsidRDefault="00E93CFB" w:rsidP="00E93CFB">
            <w:pPr>
              <w:ind w:left="18"/>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lang w:val="en-ID"/>
              </w:rPr>
            </w:pPr>
            <w:r w:rsidRPr="00C138DE">
              <w:rPr>
                <w:rFonts w:eastAsia="Times New Roman" w:cs="Times New Roman"/>
                <w:b/>
                <w:bCs/>
                <w:lang w:val="en-ID"/>
              </w:rPr>
              <w:t>100</w:t>
            </w:r>
          </w:p>
        </w:tc>
      </w:tr>
    </w:tbl>
    <w:p w14:paraId="554B6405" w14:textId="2352E328" w:rsidR="00970DED" w:rsidRPr="00C138DE" w:rsidRDefault="00BC6FAF" w:rsidP="00970DED">
      <w:pPr>
        <w:ind w:left="284" w:right="288" w:firstLine="720"/>
        <w:jc w:val="both"/>
        <w:rPr>
          <w:rFonts w:eastAsia="Times New Roman" w:cs="Times New Roman"/>
          <w:b/>
          <w:bCs/>
          <w:lang w:val="id-ID"/>
        </w:rPr>
      </w:pPr>
      <w:r w:rsidRPr="00C138DE">
        <w:rPr>
          <w:rFonts w:eastAsia="Times New Roman" w:cs="Times New Roman"/>
          <w:lang w:val="id-ID"/>
        </w:rPr>
        <w:t xml:space="preserve"> </w:t>
      </w:r>
    </w:p>
    <w:p w14:paraId="34169212" w14:textId="141E5180" w:rsidR="00970DED" w:rsidRPr="00C138DE" w:rsidRDefault="00970DED" w:rsidP="00BC6FAF">
      <w:pPr>
        <w:ind w:left="284" w:right="288"/>
        <w:jc w:val="center"/>
        <w:rPr>
          <w:rFonts w:eastAsia="Times New Roman" w:cs="Times New Roman"/>
          <w:b/>
          <w:bCs/>
          <w:lang w:val="en"/>
        </w:rPr>
      </w:pPr>
      <w:r w:rsidRPr="00C138DE">
        <w:rPr>
          <w:rFonts w:eastAsia="Times New Roman" w:cs="Times New Roman"/>
          <w:b/>
          <w:bCs/>
          <w:lang w:val="en"/>
        </w:rPr>
        <w:t xml:space="preserve">Table </w:t>
      </w:r>
      <w:r w:rsidR="00E93CFB" w:rsidRPr="00C138DE">
        <w:rPr>
          <w:rFonts w:eastAsia="Times New Roman" w:cs="Times New Roman"/>
          <w:b/>
          <w:bCs/>
          <w:lang w:val="en"/>
        </w:rPr>
        <w:t>2</w:t>
      </w:r>
      <w:r w:rsidRPr="00C138DE">
        <w:rPr>
          <w:rFonts w:eastAsia="Times New Roman" w:cs="Times New Roman"/>
          <w:b/>
          <w:bCs/>
          <w:lang w:val="en"/>
        </w:rPr>
        <w:t>. Characteristics of The Subjects (n = 281)</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690"/>
        <w:gridCol w:w="1679"/>
      </w:tblGrid>
      <w:tr w:rsidR="00970DED" w:rsidRPr="00C138DE" w14:paraId="4D51BD3B" w14:textId="77777777" w:rsidTr="004B7A1B">
        <w:trPr>
          <w:tblHeader/>
          <w:jc w:val="center"/>
        </w:trPr>
        <w:tc>
          <w:tcPr>
            <w:tcW w:w="3690" w:type="dxa"/>
          </w:tcPr>
          <w:p w14:paraId="60EE8BF6" w14:textId="77777777" w:rsidR="00970DED" w:rsidRPr="00C138DE" w:rsidRDefault="00970DED" w:rsidP="007F3D2D">
            <w:pPr>
              <w:jc w:val="both"/>
              <w:rPr>
                <w:rFonts w:eastAsia="Times New Roman" w:cs="Times New Roman"/>
                <w:b/>
                <w:bCs/>
                <w:lang w:val="en"/>
              </w:rPr>
            </w:pPr>
            <w:r w:rsidRPr="00C138DE">
              <w:rPr>
                <w:rFonts w:eastAsia="Times New Roman" w:cs="Times New Roman"/>
                <w:b/>
                <w:bCs/>
                <w:lang w:val="en"/>
              </w:rPr>
              <w:t>Variable</w:t>
            </w:r>
          </w:p>
        </w:tc>
        <w:tc>
          <w:tcPr>
            <w:tcW w:w="0" w:type="auto"/>
          </w:tcPr>
          <w:p w14:paraId="3A7C4AE3" w14:textId="77777777" w:rsidR="00970DED" w:rsidRPr="00C138DE" w:rsidRDefault="00970DED" w:rsidP="007F3D2D">
            <w:pPr>
              <w:jc w:val="both"/>
              <w:rPr>
                <w:rFonts w:eastAsia="Times New Roman" w:cs="Times New Roman"/>
                <w:b/>
                <w:bCs/>
                <w:lang w:val="en"/>
              </w:rPr>
            </w:pPr>
            <w:r w:rsidRPr="00C138DE">
              <w:rPr>
                <w:rFonts w:eastAsia="Times New Roman" w:cs="Times New Roman"/>
                <w:b/>
                <w:bCs/>
                <w:lang w:val="en"/>
              </w:rPr>
              <w:t>N, %</w:t>
            </w:r>
          </w:p>
        </w:tc>
      </w:tr>
      <w:tr w:rsidR="00970DED" w:rsidRPr="00C138DE" w14:paraId="581414CF" w14:textId="77777777" w:rsidTr="004B7A1B">
        <w:trPr>
          <w:jc w:val="center"/>
        </w:trPr>
        <w:tc>
          <w:tcPr>
            <w:tcW w:w="3690" w:type="dxa"/>
          </w:tcPr>
          <w:p w14:paraId="53D5674F"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Age</w:t>
            </w:r>
          </w:p>
        </w:tc>
        <w:tc>
          <w:tcPr>
            <w:tcW w:w="0" w:type="auto"/>
          </w:tcPr>
          <w:p w14:paraId="3CE92A99"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60.24 (SD 9.72)</w:t>
            </w:r>
          </w:p>
        </w:tc>
      </w:tr>
      <w:tr w:rsidR="00970DED" w:rsidRPr="00C138DE" w14:paraId="44125D9E" w14:textId="77777777" w:rsidTr="004B7A1B">
        <w:trPr>
          <w:jc w:val="center"/>
        </w:trPr>
        <w:tc>
          <w:tcPr>
            <w:tcW w:w="3690" w:type="dxa"/>
          </w:tcPr>
          <w:p w14:paraId="156F3240"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Gender</w:t>
            </w:r>
          </w:p>
          <w:p w14:paraId="65E78E0D"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Male</w:t>
            </w:r>
          </w:p>
          <w:p w14:paraId="7F416987"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Female</w:t>
            </w:r>
          </w:p>
        </w:tc>
        <w:tc>
          <w:tcPr>
            <w:tcW w:w="0" w:type="auto"/>
          </w:tcPr>
          <w:p w14:paraId="0B7A53F6" w14:textId="77777777" w:rsidR="00970DED" w:rsidRPr="00C138DE" w:rsidRDefault="00970DED" w:rsidP="007F3D2D">
            <w:pPr>
              <w:jc w:val="both"/>
              <w:rPr>
                <w:rFonts w:eastAsia="Times New Roman" w:cs="Times New Roman"/>
                <w:lang w:val="en"/>
              </w:rPr>
            </w:pPr>
          </w:p>
          <w:p w14:paraId="6EF3B7D7"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90 (32)</w:t>
            </w:r>
          </w:p>
          <w:p w14:paraId="16E0AB25"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191 (68)</w:t>
            </w:r>
          </w:p>
        </w:tc>
      </w:tr>
      <w:tr w:rsidR="00970DED" w:rsidRPr="00C138DE" w14:paraId="0931A1CB" w14:textId="77777777" w:rsidTr="004B7A1B">
        <w:trPr>
          <w:jc w:val="center"/>
        </w:trPr>
        <w:tc>
          <w:tcPr>
            <w:tcW w:w="3690" w:type="dxa"/>
          </w:tcPr>
          <w:p w14:paraId="0F9E5290"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Education</w:t>
            </w:r>
          </w:p>
          <w:p w14:paraId="47D221D3"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Elementary School</w:t>
            </w:r>
          </w:p>
          <w:p w14:paraId="63686861"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Junior high School</w:t>
            </w:r>
          </w:p>
          <w:p w14:paraId="37792B14"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Senior high school</w:t>
            </w:r>
          </w:p>
          <w:p w14:paraId="3E766FF0"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Diploma</w:t>
            </w:r>
          </w:p>
        </w:tc>
        <w:tc>
          <w:tcPr>
            <w:tcW w:w="0" w:type="auto"/>
          </w:tcPr>
          <w:p w14:paraId="60B12393" w14:textId="77777777" w:rsidR="00970DED" w:rsidRPr="00C138DE" w:rsidRDefault="00970DED" w:rsidP="007F3D2D">
            <w:pPr>
              <w:jc w:val="both"/>
              <w:rPr>
                <w:rFonts w:eastAsia="Times New Roman" w:cs="Times New Roman"/>
                <w:lang w:val="en"/>
              </w:rPr>
            </w:pPr>
          </w:p>
          <w:p w14:paraId="06AEB2FF"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79 (28.1)</w:t>
            </w:r>
          </w:p>
          <w:p w14:paraId="77158606"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43 (15.3)</w:t>
            </w:r>
          </w:p>
          <w:p w14:paraId="0FC38686"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101 (35.9)</w:t>
            </w:r>
          </w:p>
          <w:p w14:paraId="5B0C7D59"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56 (19.9)</w:t>
            </w:r>
          </w:p>
        </w:tc>
      </w:tr>
      <w:tr w:rsidR="00970DED" w:rsidRPr="00C138DE" w14:paraId="4353E00B" w14:textId="77777777" w:rsidTr="004B7A1B">
        <w:trPr>
          <w:jc w:val="center"/>
        </w:trPr>
        <w:tc>
          <w:tcPr>
            <w:tcW w:w="3690" w:type="dxa"/>
          </w:tcPr>
          <w:p w14:paraId="50188FC8"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Marital Status</w:t>
            </w:r>
          </w:p>
          <w:p w14:paraId="5950DDD9"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Married</w:t>
            </w:r>
          </w:p>
          <w:p w14:paraId="0E5BA0C8"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Unmarried</w:t>
            </w:r>
          </w:p>
        </w:tc>
        <w:tc>
          <w:tcPr>
            <w:tcW w:w="0" w:type="auto"/>
          </w:tcPr>
          <w:p w14:paraId="6C33CF0D" w14:textId="77777777" w:rsidR="00970DED" w:rsidRPr="00C138DE" w:rsidRDefault="00970DED" w:rsidP="007F3D2D">
            <w:pPr>
              <w:jc w:val="both"/>
              <w:rPr>
                <w:rFonts w:eastAsia="Times New Roman" w:cs="Times New Roman"/>
                <w:lang w:val="en"/>
              </w:rPr>
            </w:pPr>
          </w:p>
          <w:p w14:paraId="1A9B20FB"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268 (95.4)</w:t>
            </w:r>
          </w:p>
          <w:p w14:paraId="4C4D0F61"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13 (4.6)</w:t>
            </w:r>
          </w:p>
        </w:tc>
      </w:tr>
      <w:tr w:rsidR="00970DED" w:rsidRPr="00C138DE" w14:paraId="7F521018" w14:textId="77777777" w:rsidTr="004B7A1B">
        <w:trPr>
          <w:jc w:val="center"/>
        </w:trPr>
        <w:tc>
          <w:tcPr>
            <w:tcW w:w="3690" w:type="dxa"/>
          </w:tcPr>
          <w:p w14:paraId="03C6DDBE"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Nutritional status</w:t>
            </w:r>
          </w:p>
          <w:p w14:paraId="7F356A08"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Normal</w:t>
            </w:r>
          </w:p>
          <w:p w14:paraId="3F31B4F6"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Risk at malnutrition or malnutrition</w:t>
            </w:r>
          </w:p>
        </w:tc>
        <w:tc>
          <w:tcPr>
            <w:tcW w:w="0" w:type="auto"/>
          </w:tcPr>
          <w:p w14:paraId="70F8052D" w14:textId="77777777" w:rsidR="00970DED" w:rsidRPr="00C138DE" w:rsidRDefault="00970DED" w:rsidP="007F3D2D">
            <w:pPr>
              <w:jc w:val="both"/>
              <w:rPr>
                <w:rFonts w:eastAsia="Times New Roman" w:cs="Times New Roman"/>
                <w:lang w:val="en"/>
              </w:rPr>
            </w:pPr>
          </w:p>
          <w:p w14:paraId="75EB77F2"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204 (72.6)</w:t>
            </w:r>
          </w:p>
          <w:p w14:paraId="65656EA1"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77 (27.4)</w:t>
            </w:r>
          </w:p>
        </w:tc>
      </w:tr>
      <w:tr w:rsidR="00970DED" w:rsidRPr="00C138DE" w14:paraId="1595BD82" w14:textId="77777777" w:rsidTr="004B7A1B">
        <w:trPr>
          <w:jc w:val="center"/>
        </w:trPr>
        <w:tc>
          <w:tcPr>
            <w:tcW w:w="3690" w:type="dxa"/>
          </w:tcPr>
          <w:p w14:paraId="0A40615B"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Sarcopenia</w:t>
            </w:r>
          </w:p>
          <w:p w14:paraId="62E3A49E"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Normal</w:t>
            </w:r>
          </w:p>
          <w:p w14:paraId="522F22F4"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Sarcopenia</w:t>
            </w:r>
          </w:p>
        </w:tc>
        <w:tc>
          <w:tcPr>
            <w:tcW w:w="0" w:type="auto"/>
          </w:tcPr>
          <w:p w14:paraId="755CD782" w14:textId="77777777" w:rsidR="00970DED" w:rsidRPr="00C138DE" w:rsidRDefault="00970DED" w:rsidP="007F3D2D">
            <w:pPr>
              <w:jc w:val="both"/>
              <w:rPr>
                <w:rFonts w:eastAsia="Times New Roman" w:cs="Times New Roman"/>
                <w:lang w:val="en"/>
              </w:rPr>
            </w:pPr>
          </w:p>
          <w:p w14:paraId="05C49383"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260 (92.5)</w:t>
            </w:r>
          </w:p>
          <w:p w14:paraId="615BB0AD"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21 (7.5)</w:t>
            </w:r>
          </w:p>
        </w:tc>
      </w:tr>
      <w:tr w:rsidR="00970DED" w:rsidRPr="00C138DE" w14:paraId="092AF1D9" w14:textId="77777777" w:rsidTr="004B7A1B">
        <w:trPr>
          <w:jc w:val="center"/>
        </w:trPr>
        <w:tc>
          <w:tcPr>
            <w:tcW w:w="3690" w:type="dxa"/>
          </w:tcPr>
          <w:p w14:paraId="2C93E3D8"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Cognitive Status</w:t>
            </w:r>
          </w:p>
          <w:p w14:paraId="4098911D"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Normal</w:t>
            </w:r>
          </w:p>
          <w:p w14:paraId="3803CF7D"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Cognitive impairment</w:t>
            </w:r>
          </w:p>
        </w:tc>
        <w:tc>
          <w:tcPr>
            <w:tcW w:w="0" w:type="auto"/>
          </w:tcPr>
          <w:p w14:paraId="053BD2F8" w14:textId="77777777" w:rsidR="00970DED" w:rsidRPr="00C138DE" w:rsidRDefault="00970DED" w:rsidP="007F3D2D">
            <w:pPr>
              <w:jc w:val="both"/>
              <w:rPr>
                <w:rFonts w:eastAsia="Times New Roman" w:cs="Times New Roman"/>
                <w:lang w:val="en"/>
              </w:rPr>
            </w:pPr>
          </w:p>
          <w:p w14:paraId="63191E6D"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265 (94.3)</w:t>
            </w:r>
          </w:p>
          <w:p w14:paraId="55B12D7D"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16 (5.7)</w:t>
            </w:r>
          </w:p>
        </w:tc>
      </w:tr>
      <w:tr w:rsidR="00970DED" w:rsidRPr="00C138DE" w14:paraId="0B8100C0" w14:textId="77777777" w:rsidTr="004B7A1B">
        <w:trPr>
          <w:jc w:val="center"/>
        </w:trPr>
        <w:tc>
          <w:tcPr>
            <w:tcW w:w="3690" w:type="dxa"/>
          </w:tcPr>
          <w:p w14:paraId="4F8CD8B7"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Frailty Status</w:t>
            </w:r>
          </w:p>
          <w:p w14:paraId="6962B7E0"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Robust</w:t>
            </w:r>
          </w:p>
          <w:p w14:paraId="0B34EC96"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Prefrail</w:t>
            </w:r>
          </w:p>
          <w:p w14:paraId="0864F2AA"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Frail</w:t>
            </w:r>
          </w:p>
        </w:tc>
        <w:tc>
          <w:tcPr>
            <w:tcW w:w="0" w:type="auto"/>
          </w:tcPr>
          <w:p w14:paraId="23BE11C4" w14:textId="77777777" w:rsidR="00970DED" w:rsidRPr="00C138DE" w:rsidRDefault="00970DED" w:rsidP="007F3D2D">
            <w:pPr>
              <w:jc w:val="both"/>
              <w:rPr>
                <w:rFonts w:eastAsia="Times New Roman" w:cs="Times New Roman"/>
                <w:lang w:val="en"/>
              </w:rPr>
            </w:pPr>
          </w:p>
          <w:p w14:paraId="4DBC53E9"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120 (42.7)</w:t>
            </w:r>
          </w:p>
          <w:p w14:paraId="4CEBE4F7"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139 (49.5)</w:t>
            </w:r>
          </w:p>
          <w:p w14:paraId="10BBB0F9"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22 (7.8)</w:t>
            </w:r>
          </w:p>
        </w:tc>
      </w:tr>
      <w:tr w:rsidR="00970DED" w:rsidRPr="00C138DE" w14:paraId="443B49F1" w14:textId="77777777" w:rsidTr="004B7A1B">
        <w:trPr>
          <w:jc w:val="center"/>
        </w:trPr>
        <w:tc>
          <w:tcPr>
            <w:tcW w:w="3690" w:type="dxa"/>
          </w:tcPr>
          <w:p w14:paraId="6F067361"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Basic ADL score</w:t>
            </w:r>
          </w:p>
        </w:tc>
        <w:tc>
          <w:tcPr>
            <w:tcW w:w="0" w:type="auto"/>
          </w:tcPr>
          <w:p w14:paraId="658541D4"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20 (13–20)</w:t>
            </w:r>
          </w:p>
        </w:tc>
      </w:tr>
      <w:tr w:rsidR="00970DED" w:rsidRPr="00C138DE" w14:paraId="4890F2C0" w14:textId="77777777" w:rsidTr="004B7A1B">
        <w:trPr>
          <w:jc w:val="center"/>
        </w:trPr>
        <w:tc>
          <w:tcPr>
            <w:tcW w:w="3690" w:type="dxa"/>
          </w:tcPr>
          <w:p w14:paraId="319079EB"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Polypharmacy (≥ 5 drugs)</w:t>
            </w:r>
          </w:p>
          <w:p w14:paraId="0EA1FE45"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Yes</w:t>
            </w:r>
          </w:p>
          <w:p w14:paraId="77A464FF"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No</w:t>
            </w:r>
          </w:p>
        </w:tc>
        <w:tc>
          <w:tcPr>
            <w:tcW w:w="0" w:type="auto"/>
          </w:tcPr>
          <w:p w14:paraId="78C372DC" w14:textId="77777777" w:rsidR="00970DED" w:rsidRPr="00C138DE" w:rsidRDefault="00970DED" w:rsidP="007F3D2D">
            <w:pPr>
              <w:jc w:val="both"/>
              <w:rPr>
                <w:rFonts w:eastAsia="Times New Roman" w:cs="Times New Roman"/>
                <w:lang w:val="en"/>
              </w:rPr>
            </w:pPr>
          </w:p>
          <w:p w14:paraId="7D1A553C"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17 (6.04)</w:t>
            </w:r>
          </w:p>
          <w:p w14:paraId="7644CD9D"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264 (93.95)</w:t>
            </w:r>
          </w:p>
        </w:tc>
      </w:tr>
      <w:tr w:rsidR="00970DED" w:rsidRPr="00C138DE" w14:paraId="31BBBE04" w14:textId="77777777" w:rsidTr="004B7A1B">
        <w:trPr>
          <w:jc w:val="center"/>
        </w:trPr>
        <w:tc>
          <w:tcPr>
            <w:tcW w:w="3690" w:type="dxa"/>
          </w:tcPr>
          <w:p w14:paraId="7BBD8D2F" w14:textId="77777777" w:rsidR="00970DED" w:rsidRPr="00C138DE" w:rsidRDefault="00970DED" w:rsidP="007F3D2D">
            <w:pPr>
              <w:jc w:val="both"/>
              <w:rPr>
                <w:rFonts w:eastAsia="Times New Roman" w:cs="Times New Roman"/>
                <w:lang w:val="en"/>
              </w:rPr>
            </w:pPr>
            <w:proofErr w:type="spellStart"/>
            <w:r w:rsidRPr="00C138DE">
              <w:rPr>
                <w:rFonts w:eastAsia="Times New Roman" w:cs="Times New Roman"/>
                <w:lang w:val="en"/>
              </w:rPr>
              <w:lastRenderedPageBreak/>
              <w:t>Charlson</w:t>
            </w:r>
            <w:proofErr w:type="spellEnd"/>
            <w:r w:rsidRPr="00C138DE">
              <w:rPr>
                <w:rFonts w:eastAsia="Times New Roman" w:cs="Times New Roman"/>
                <w:lang w:val="en"/>
              </w:rPr>
              <w:t xml:space="preserve"> Comorbidity Index (CCI)</w:t>
            </w:r>
          </w:p>
          <w:p w14:paraId="31DE3152"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CCI &lt; 5</w:t>
            </w:r>
          </w:p>
          <w:p w14:paraId="3416EA56"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 xml:space="preserve">CCI </w:t>
            </w:r>
            <w:r w:rsidRPr="00C138DE">
              <w:rPr>
                <w:rFonts w:eastAsia="Times New Roman" w:cs="Times New Roman"/>
                <w:iCs/>
                <w:lang w:val="en"/>
              </w:rPr>
              <w:t xml:space="preserve">≥ </w:t>
            </w:r>
            <w:r w:rsidRPr="00C138DE">
              <w:rPr>
                <w:rFonts w:eastAsia="Times New Roman" w:cs="Times New Roman"/>
                <w:lang w:val="en"/>
              </w:rPr>
              <w:t>5</w:t>
            </w:r>
          </w:p>
        </w:tc>
        <w:tc>
          <w:tcPr>
            <w:tcW w:w="0" w:type="auto"/>
          </w:tcPr>
          <w:p w14:paraId="6E28AD05" w14:textId="77777777" w:rsidR="00970DED" w:rsidRPr="00C138DE" w:rsidRDefault="00970DED" w:rsidP="007F3D2D">
            <w:pPr>
              <w:jc w:val="both"/>
              <w:rPr>
                <w:rFonts w:eastAsia="Times New Roman" w:cs="Times New Roman"/>
                <w:lang w:val="id-ID"/>
              </w:rPr>
            </w:pPr>
          </w:p>
          <w:p w14:paraId="29829978"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 xml:space="preserve"> 269 (95.72)</w:t>
            </w:r>
          </w:p>
          <w:p w14:paraId="124665CA"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12 (4.27)</w:t>
            </w:r>
          </w:p>
        </w:tc>
      </w:tr>
      <w:tr w:rsidR="00970DED" w:rsidRPr="00C138DE" w14:paraId="45C2194A" w14:textId="77777777" w:rsidTr="004B7A1B">
        <w:trPr>
          <w:jc w:val="center"/>
        </w:trPr>
        <w:tc>
          <w:tcPr>
            <w:tcW w:w="3690" w:type="dxa"/>
          </w:tcPr>
          <w:p w14:paraId="0A756BCF"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History of falls during previous 6 months (n, %)</w:t>
            </w:r>
          </w:p>
          <w:p w14:paraId="55B59B32"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Yes</w:t>
            </w:r>
          </w:p>
          <w:p w14:paraId="330FB371"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No</w:t>
            </w:r>
          </w:p>
        </w:tc>
        <w:tc>
          <w:tcPr>
            <w:tcW w:w="0" w:type="auto"/>
          </w:tcPr>
          <w:p w14:paraId="7C63CD90" w14:textId="77777777" w:rsidR="00970DED" w:rsidRPr="00C138DE" w:rsidRDefault="00970DED" w:rsidP="007F3D2D">
            <w:pPr>
              <w:jc w:val="both"/>
              <w:rPr>
                <w:rFonts w:eastAsia="Times New Roman" w:cs="Times New Roman"/>
                <w:lang w:val="id-ID"/>
              </w:rPr>
            </w:pPr>
          </w:p>
          <w:p w14:paraId="6543485A" w14:textId="77777777" w:rsidR="00970DED" w:rsidRPr="00C138DE" w:rsidRDefault="00970DED" w:rsidP="007F3D2D">
            <w:pPr>
              <w:jc w:val="both"/>
              <w:rPr>
                <w:rFonts w:eastAsia="Times New Roman" w:cs="Times New Roman"/>
                <w:lang w:val="en"/>
              </w:rPr>
            </w:pPr>
            <w:r w:rsidRPr="00C138DE">
              <w:rPr>
                <w:rFonts w:eastAsia="Times New Roman" w:cs="Times New Roman"/>
                <w:lang w:val="id-ID"/>
              </w:rPr>
              <w:t>39</w:t>
            </w:r>
            <w:r w:rsidRPr="00C138DE">
              <w:rPr>
                <w:rFonts w:eastAsia="Times New Roman" w:cs="Times New Roman"/>
                <w:lang w:val="en"/>
              </w:rPr>
              <w:t xml:space="preserve"> (13.87)</w:t>
            </w:r>
          </w:p>
          <w:p w14:paraId="613B94A3"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242 (86.12)</w:t>
            </w:r>
          </w:p>
        </w:tc>
      </w:tr>
      <w:tr w:rsidR="00970DED" w:rsidRPr="00C138DE" w14:paraId="7259373D" w14:textId="77777777" w:rsidTr="004B7A1B">
        <w:trPr>
          <w:jc w:val="center"/>
        </w:trPr>
        <w:tc>
          <w:tcPr>
            <w:tcW w:w="3690" w:type="dxa"/>
          </w:tcPr>
          <w:p w14:paraId="42511130"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Diabetes complication</w:t>
            </w:r>
          </w:p>
          <w:p w14:paraId="3B0D2818"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Yes</w:t>
            </w:r>
          </w:p>
          <w:p w14:paraId="02C7E967"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No</w:t>
            </w:r>
          </w:p>
        </w:tc>
        <w:tc>
          <w:tcPr>
            <w:tcW w:w="0" w:type="auto"/>
          </w:tcPr>
          <w:p w14:paraId="4A51CF3D" w14:textId="77777777" w:rsidR="00970DED" w:rsidRPr="00C138DE" w:rsidRDefault="00970DED" w:rsidP="007F3D2D">
            <w:pPr>
              <w:jc w:val="both"/>
              <w:rPr>
                <w:rFonts w:eastAsia="Times New Roman" w:cs="Times New Roman"/>
                <w:lang w:val="en"/>
              </w:rPr>
            </w:pPr>
          </w:p>
          <w:p w14:paraId="3F882131"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19 (6.76)</w:t>
            </w:r>
          </w:p>
          <w:p w14:paraId="646E30F6" w14:textId="77777777" w:rsidR="00970DED" w:rsidRPr="00C138DE" w:rsidRDefault="00970DED" w:rsidP="007F3D2D">
            <w:pPr>
              <w:jc w:val="both"/>
              <w:rPr>
                <w:rFonts w:eastAsia="Times New Roman" w:cs="Times New Roman"/>
                <w:lang w:val="en"/>
              </w:rPr>
            </w:pPr>
            <w:r w:rsidRPr="00C138DE">
              <w:rPr>
                <w:rFonts w:eastAsia="Times New Roman" w:cs="Times New Roman"/>
                <w:lang w:val="en"/>
              </w:rPr>
              <w:t>262 (93.2)</w:t>
            </w:r>
          </w:p>
        </w:tc>
      </w:tr>
    </w:tbl>
    <w:p w14:paraId="63A91240" w14:textId="77777777" w:rsidR="00970DED" w:rsidRPr="00C138DE" w:rsidRDefault="00970DED" w:rsidP="00970DED">
      <w:pPr>
        <w:ind w:left="284" w:right="288" w:firstLine="720"/>
        <w:jc w:val="both"/>
        <w:rPr>
          <w:rFonts w:eastAsia="Times New Roman" w:cs="Times New Roman"/>
          <w:b/>
          <w:bCs/>
          <w:lang w:val="en"/>
        </w:rPr>
      </w:pPr>
    </w:p>
    <w:p w14:paraId="682DFB16" w14:textId="2F95919E" w:rsidR="00970DED" w:rsidRPr="00C138DE" w:rsidRDefault="00BC6FAF" w:rsidP="00970DED">
      <w:pPr>
        <w:ind w:left="284" w:right="288" w:firstLine="720"/>
        <w:jc w:val="both"/>
        <w:rPr>
          <w:rFonts w:eastAsia="Times New Roman" w:cs="Times New Roman"/>
          <w:lang w:val="en"/>
        </w:rPr>
      </w:pPr>
      <w:r w:rsidRPr="00C138DE">
        <w:rPr>
          <w:rFonts w:eastAsia="Times New Roman" w:cs="Times New Roman"/>
          <w:lang w:val="en-ID"/>
        </w:rPr>
        <w:t>Bivariate analysis (Table 3) revealed a statistically significant link between sarcopenia and the presence of cognitive frailty. After multivariable adjustment incorporating both sarcopenia and age (Table 4), sarcopenia retained a strong and statistically significant association (adjusted prevalence ratio [PR] = 6.84; 95% CI: 1.55–30.19).</w:t>
      </w:r>
    </w:p>
    <w:p w14:paraId="24744BB0" w14:textId="77777777" w:rsidR="00E93CFB" w:rsidRPr="00C138DE" w:rsidRDefault="00E93CFB" w:rsidP="004B7A1B">
      <w:pPr>
        <w:ind w:right="288"/>
        <w:jc w:val="both"/>
        <w:rPr>
          <w:rFonts w:eastAsia="Times New Roman" w:cs="Times New Roman"/>
          <w:lang w:val="en"/>
        </w:rPr>
      </w:pPr>
    </w:p>
    <w:p w14:paraId="5D77ACEE" w14:textId="59EF64B2" w:rsidR="00970DED" w:rsidRPr="00C138DE" w:rsidRDefault="00970DED" w:rsidP="00BC6FAF">
      <w:pPr>
        <w:ind w:left="284" w:right="288"/>
        <w:jc w:val="center"/>
        <w:rPr>
          <w:rFonts w:eastAsia="Times New Roman" w:cs="Times New Roman"/>
          <w:b/>
          <w:bCs/>
          <w:lang w:val="en"/>
        </w:rPr>
      </w:pPr>
      <w:r w:rsidRPr="00C138DE">
        <w:rPr>
          <w:rFonts w:eastAsia="Times New Roman" w:cs="Times New Roman"/>
          <w:b/>
          <w:bCs/>
          <w:lang w:val="en"/>
        </w:rPr>
        <w:t xml:space="preserve">Table </w:t>
      </w:r>
      <w:r w:rsidR="00E93CFB" w:rsidRPr="00C138DE">
        <w:rPr>
          <w:rFonts w:eastAsia="Times New Roman" w:cs="Times New Roman"/>
          <w:b/>
          <w:bCs/>
          <w:lang w:val="en"/>
        </w:rPr>
        <w:t>3</w:t>
      </w:r>
      <w:r w:rsidRPr="00C138DE">
        <w:rPr>
          <w:rFonts w:eastAsia="Times New Roman" w:cs="Times New Roman"/>
          <w:b/>
          <w:bCs/>
          <w:lang w:val="en"/>
        </w:rPr>
        <w:t xml:space="preserve">. </w:t>
      </w:r>
      <w:r w:rsidRPr="00C138DE">
        <w:rPr>
          <w:rFonts w:eastAsia="Times New Roman" w:cs="Times New Roman"/>
          <w:lang w:val="en"/>
        </w:rPr>
        <w:t>Bivariate Analysis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600"/>
        <w:gridCol w:w="1527"/>
        <w:gridCol w:w="1161"/>
        <w:gridCol w:w="972"/>
      </w:tblGrid>
      <w:tr w:rsidR="00970DED" w:rsidRPr="00C138DE" w14:paraId="7B463D7D" w14:textId="77777777" w:rsidTr="007F3D2D">
        <w:trPr>
          <w:tblHeader/>
          <w:jc w:val="center"/>
        </w:trPr>
        <w:tc>
          <w:tcPr>
            <w:tcW w:w="0" w:type="auto"/>
            <w:vMerge w:val="restart"/>
          </w:tcPr>
          <w:p w14:paraId="53321B0C" w14:textId="77777777" w:rsidR="00970DED" w:rsidRPr="00C138DE" w:rsidRDefault="00970DED" w:rsidP="00970DED">
            <w:pPr>
              <w:ind w:left="284" w:right="288" w:firstLine="720"/>
              <w:jc w:val="both"/>
              <w:rPr>
                <w:rFonts w:eastAsia="Times New Roman" w:cs="Times New Roman"/>
                <w:b/>
                <w:bCs/>
                <w:lang w:val="en"/>
              </w:rPr>
            </w:pPr>
          </w:p>
        </w:tc>
        <w:tc>
          <w:tcPr>
            <w:tcW w:w="0" w:type="auto"/>
            <w:gridSpan w:val="2"/>
          </w:tcPr>
          <w:p w14:paraId="44448D7A" w14:textId="77777777" w:rsidR="00970DED" w:rsidRPr="00C138DE" w:rsidRDefault="00970DED" w:rsidP="00BC6FAF">
            <w:pPr>
              <w:ind w:left="34" w:hanging="34"/>
              <w:jc w:val="center"/>
              <w:rPr>
                <w:rFonts w:eastAsia="Times New Roman" w:cs="Times New Roman"/>
                <w:b/>
                <w:bCs/>
                <w:lang w:val="en"/>
              </w:rPr>
            </w:pPr>
            <w:r w:rsidRPr="00C138DE">
              <w:rPr>
                <w:rFonts w:eastAsia="Times New Roman" w:cs="Times New Roman"/>
                <w:b/>
                <w:bCs/>
                <w:lang w:val="en"/>
              </w:rPr>
              <w:t>Cognitive Frailty</w:t>
            </w:r>
          </w:p>
        </w:tc>
        <w:tc>
          <w:tcPr>
            <w:tcW w:w="0" w:type="auto"/>
            <w:vMerge w:val="restart"/>
            <w:vAlign w:val="center"/>
          </w:tcPr>
          <w:p w14:paraId="14F44D4D" w14:textId="77777777" w:rsidR="00970DED" w:rsidRPr="00C138DE" w:rsidRDefault="00970DED" w:rsidP="00BC6FAF">
            <w:pPr>
              <w:ind w:left="34" w:hanging="34"/>
              <w:jc w:val="center"/>
              <w:rPr>
                <w:rFonts w:eastAsia="Times New Roman" w:cs="Times New Roman"/>
                <w:b/>
                <w:bCs/>
                <w:lang w:val="en"/>
              </w:rPr>
            </w:pPr>
            <w:r w:rsidRPr="00C138DE">
              <w:rPr>
                <w:rFonts w:eastAsia="Times New Roman" w:cs="Times New Roman"/>
                <w:b/>
                <w:bCs/>
                <w:lang w:val="en"/>
              </w:rPr>
              <w:t>p-value</w:t>
            </w:r>
          </w:p>
        </w:tc>
      </w:tr>
      <w:tr w:rsidR="00970DED" w:rsidRPr="00C138DE" w14:paraId="55C1A09C" w14:textId="77777777" w:rsidTr="007F3D2D">
        <w:trPr>
          <w:tblHeader/>
          <w:jc w:val="center"/>
        </w:trPr>
        <w:tc>
          <w:tcPr>
            <w:tcW w:w="0" w:type="auto"/>
            <w:vMerge/>
          </w:tcPr>
          <w:p w14:paraId="50B1DF4B" w14:textId="77777777" w:rsidR="00970DED" w:rsidRPr="00C138DE" w:rsidRDefault="00970DED" w:rsidP="00970DED">
            <w:pPr>
              <w:ind w:left="284" w:right="288" w:firstLine="720"/>
              <w:jc w:val="both"/>
              <w:rPr>
                <w:rFonts w:eastAsia="Times New Roman" w:cs="Times New Roman"/>
                <w:b/>
                <w:bCs/>
                <w:lang w:val="en"/>
              </w:rPr>
            </w:pPr>
          </w:p>
        </w:tc>
        <w:tc>
          <w:tcPr>
            <w:tcW w:w="0" w:type="auto"/>
          </w:tcPr>
          <w:p w14:paraId="52D015E3" w14:textId="77777777" w:rsidR="00970DED" w:rsidRPr="00C138DE" w:rsidRDefault="00970DED" w:rsidP="00BC6FAF">
            <w:pPr>
              <w:ind w:left="34" w:hanging="34"/>
              <w:jc w:val="center"/>
              <w:rPr>
                <w:rFonts w:eastAsia="Times New Roman" w:cs="Times New Roman"/>
                <w:b/>
                <w:bCs/>
                <w:lang w:val="en"/>
              </w:rPr>
            </w:pPr>
            <w:r w:rsidRPr="00C138DE">
              <w:rPr>
                <w:rFonts w:eastAsia="Times New Roman" w:cs="Times New Roman"/>
                <w:b/>
                <w:bCs/>
                <w:lang w:val="en"/>
              </w:rPr>
              <w:t>No</w:t>
            </w:r>
          </w:p>
          <w:p w14:paraId="13E496E9" w14:textId="77777777" w:rsidR="00970DED" w:rsidRPr="00C138DE" w:rsidRDefault="00970DED" w:rsidP="00BC6FAF">
            <w:pPr>
              <w:ind w:left="34" w:hanging="34"/>
              <w:jc w:val="center"/>
              <w:rPr>
                <w:rFonts w:eastAsia="Times New Roman" w:cs="Times New Roman"/>
                <w:b/>
                <w:bCs/>
                <w:lang w:val="en"/>
              </w:rPr>
            </w:pPr>
            <w:r w:rsidRPr="00C138DE">
              <w:rPr>
                <w:rFonts w:eastAsia="Times New Roman" w:cs="Times New Roman"/>
                <w:b/>
                <w:bCs/>
                <w:lang w:val="en"/>
              </w:rPr>
              <w:t>(n=272)</w:t>
            </w:r>
          </w:p>
        </w:tc>
        <w:tc>
          <w:tcPr>
            <w:tcW w:w="0" w:type="auto"/>
          </w:tcPr>
          <w:p w14:paraId="437E1C45" w14:textId="77777777" w:rsidR="00970DED" w:rsidRPr="00C138DE" w:rsidRDefault="00970DED" w:rsidP="00BC6FAF">
            <w:pPr>
              <w:ind w:left="34" w:hanging="34"/>
              <w:jc w:val="center"/>
              <w:rPr>
                <w:rFonts w:eastAsia="Times New Roman" w:cs="Times New Roman"/>
                <w:b/>
                <w:bCs/>
                <w:lang w:val="en"/>
              </w:rPr>
            </w:pPr>
            <w:r w:rsidRPr="00C138DE">
              <w:rPr>
                <w:rFonts w:eastAsia="Times New Roman" w:cs="Times New Roman"/>
                <w:b/>
                <w:bCs/>
                <w:lang w:val="en"/>
              </w:rPr>
              <w:t xml:space="preserve">Yes </w:t>
            </w:r>
          </w:p>
          <w:p w14:paraId="580F62AC" w14:textId="77777777" w:rsidR="00970DED" w:rsidRPr="00C138DE" w:rsidRDefault="00970DED" w:rsidP="00BC6FAF">
            <w:pPr>
              <w:ind w:left="34" w:hanging="34"/>
              <w:jc w:val="center"/>
              <w:rPr>
                <w:rFonts w:eastAsia="Times New Roman" w:cs="Times New Roman"/>
                <w:b/>
                <w:bCs/>
                <w:lang w:val="en"/>
              </w:rPr>
            </w:pPr>
            <w:r w:rsidRPr="00C138DE">
              <w:rPr>
                <w:rFonts w:eastAsia="Times New Roman" w:cs="Times New Roman"/>
                <w:b/>
                <w:bCs/>
                <w:lang w:val="en"/>
              </w:rPr>
              <w:t>(n=9)</w:t>
            </w:r>
          </w:p>
        </w:tc>
        <w:tc>
          <w:tcPr>
            <w:tcW w:w="0" w:type="auto"/>
            <w:vMerge/>
          </w:tcPr>
          <w:p w14:paraId="614957FE" w14:textId="77777777" w:rsidR="00970DED" w:rsidRPr="00C138DE" w:rsidRDefault="00970DED" w:rsidP="00970DED">
            <w:pPr>
              <w:ind w:left="284" w:right="288" w:firstLine="720"/>
              <w:jc w:val="both"/>
              <w:rPr>
                <w:rFonts w:eastAsia="Times New Roman" w:cs="Times New Roman"/>
                <w:b/>
                <w:bCs/>
                <w:lang w:val="en"/>
              </w:rPr>
            </w:pPr>
          </w:p>
        </w:tc>
      </w:tr>
      <w:tr w:rsidR="00970DED" w:rsidRPr="00C138DE" w14:paraId="4D80E761" w14:textId="77777777" w:rsidTr="007F3D2D">
        <w:trPr>
          <w:jc w:val="center"/>
        </w:trPr>
        <w:tc>
          <w:tcPr>
            <w:tcW w:w="0" w:type="auto"/>
          </w:tcPr>
          <w:p w14:paraId="003B6BC0" w14:textId="77777777" w:rsidR="00970DED" w:rsidRPr="00C138DE" w:rsidRDefault="00970DED" w:rsidP="00BC6FAF">
            <w:pPr>
              <w:ind w:left="34" w:hanging="34"/>
              <w:jc w:val="center"/>
              <w:rPr>
                <w:rFonts w:eastAsia="Times New Roman" w:cs="Times New Roman"/>
                <w:lang w:val="en"/>
              </w:rPr>
            </w:pPr>
            <w:r w:rsidRPr="00C138DE">
              <w:rPr>
                <w:rFonts w:eastAsia="Times New Roman" w:cs="Times New Roman"/>
                <w:lang w:val="en"/>
              </w:rPr>
              <w:t>Gender</w:t>
            </w:r>
          </w:p>
          <w:p w14:paraId="02A14785" w14:textId="77777777" w:rsidR="00970DED" w:rsidRPr="00C138DE" w:rsidRDefault="00970DED" w:rsidP="00BC6FAF">
            <w:pPr>
              <w:ind w:left="34" w:hanging="34"/>
              <w:jc w:val="center"/>
              <w:rPr>
                <w:rFonts w:eastAsia="Times New Roman" w:cs="Times New Roman"/>
                <w:lang w:val="en"/>
              </w:rPr>
            </w:pPr>
            <w:r w:rsidRPr="00C138DE">
              <w:rPr>
                <w:rFonts w:eastAsia="Times New Roman" w:cs="Times New Roman"/>
                <w:lang w:val="en"/>
              </w:rPr>
              <w:t xml:space="preserve">Male </w:t>
            </w:r>
          </w:p>
          <w:p w14:paraId="00417796" w14:textId="77777777" w:rsidR="00970DED" w:rsidRPr="00C138DE" w:rsidRDefault="00970DED" w:rsidP="00BC6FAF">
            <w:pPr>
              <w:ind w:left="34" w:hanging="34"/>
              <w:jc w:val="center"/>
              <w:rPr>
                <w:rFonts w:eastAsia="Times New Roman" w:cs="Times New Roman"/>
                <w:lang w:val="en"/>
              </w:rPr>
            </w:pPr>
            <w:r w:rsidRPr="00C138DE">
              <w:rPr>
                <w:rFonts w:eastAsia="Times New Roman" w:cs="Times New Roman"/>
                <w:lang w:val="en"/>
              </w:rPr>
              <w:t>Female</w:t>
            </w:r>
          </w:p>
        </w:tc>
        <w:tc>
          <w:tcPr>
            <w:tcW w:w="0" w:type="auto"/>
          </w:tcPr>
          <w:p w14:paraId="6A95752B" w14:textId="77777777" w:rsidR="00970DED" w:rsidRPr="00C138DE" w:rsidRDefault="00970DED" w:rsidP="00BC6FAF">
            <w:pPr>
              <w:ind w:left="34" w:hanging="34"/>
              <w:jc w:val="center"/>
              <w:rPr>
                <w:rFonts w:eastAsia="Times New Roman" w:cs="Times New Roman"/>
                <w:lang w:val="en"/>
              </w:rPr>
            </w:pPr>
          </w:p>
          <w:p w14:paraId="02BCDBB6" w14:textId="77777777" w:rsidR="00970DED" w:rsidRPr="00C138DE" w:rsidRDefault="00970DED" w:rsidP="00BC6FAF">
            <w:pPr>
              <w:ind w:left="34" w:hanging="34"/>
              <w:jc w:val="center"/>
              <w:rPr>
                <w:rFonts w:eastAsia="Times New Roman" w:cs="Times New Roman"/>
                <w:lang w:val="en"/>
              </w:rPr>
            </w:pPr>
            <w:r w:rsidRPr="00C138DE">
              <w:rPr>
                <w:rFonts w:eastAsia="Times New Roman" w:cs="Times New Roman"/>
                <w:lang w:val="en"/>
              </w:rPr>
              <w:t>87 (96.7%)</w:t>
            </w:r>
          </w:p>
          <w:p w14:paraId="22458992" w14:textId="77777777" w:rsidR="00970DED" w:rsidRPr="00C138DE" w:rsidRDefault="00970DED" w:rsidP="00BC6FAF">
            <w:pPr>
              <w:ind w:left="34" w:hanging="34"/>
              <w:jc w:val="center"/>
              <w:rPr>
                <w:rFonts w:eastAsia="Times New Roman" w:cs="Times New Roman"/>
                <w:lang w:val="en"/>
              </w:rPr>
            </w:pPr>
            <w:r w:rsidRPr="00C138DE">
              <w:rPr>
                <w:rFonts w:eastAsia="Times New Roman" w:cs="Times New Roman"/>
                <w:lang w:val="en"/>
              </w:rPr>
              <w:t>185 (96.9 %)</w:t>
            </w:r>
          </w:p>
        </w:tc>
        <w:tc>
          <w:tcPr>
            <w:tcW w:w="0" w:type="auto"/>
          </w:tcPr>
          <w:p w14:paraId="60BB5F36" w14:textId="77777777" w:rsidR="00970DED" w:rsidRPr="00C138DE" w:rsidRDefault="00970DED" w:rsidP="00BC6FAF">
            <w:pPr>
              <w:ind w:left="34" w:hanging="34"/>
              <w:jc w:val="center"/>
              <w:rPr>
                <w:rFonts w:eastAsia="Times New Roman" w:cs="Times New Roman"/>
                <w:lang w:val="en"/>
              </w:rPr>
            </w:pPr>
          </w:p>
          <w:p w14:paraId="0F407BCD" w14:textId="77777777" w:rsidR="00970DED" w:rsidRPr="00C138DE" w:rsidRDefault="00970DED" w:rsidP="00BC6FAF">
            <w:pPr>
              <w:ind w:left="34" w:hanging="34"/>
              <w:jc w:val="center"/>
              <w:rPr>
                <w:rFonts w:eastAsia="Times New Roman" w:cs="Times New Roman"/>
                <w:lang w:val="en"/>
              </w:rPr>
            </w:pPr>
            <w:r w:rsidRPr="00C138DE">
              <w:rPr>
                <w:rFonts w:eastAsia="Times New Roman" w:cs="Times New Roman"/>
                <w:lang w:val="en"/>
              </w:rPr>
              <w:t>3 (3.3 %)</w:t>
            </w:r>
          </w:p>
          <w:p w14:paraId="37DA3181" w14:textId="77777777" w:rsidR="00970DED" w:rsidRPr="00C138DE" w:rsidRDefault="00970DED" w:rsidP="00BC6FAF">
            <w:pPr>
              <w:ind w:left="34" w:hanging="34"/>
              <w:jc w:val="center"/>
              <w:rPr>
                <w:rFonts w:eastAsia="Times New Roman" w:cs="Times New Roman"/>
                <w:lang w:val="en"/>
              </w:rPr>
            </w:pPr>
            <w:r w:rsidRPr="00C138DE">
              <w:rPr>
                <w:rFonts w:eastAsia="Times New Roman" w:cs="Times New Roman"/>
                <w:lang w:val="en"/>
              </w:rPr>
              <w:t>6 (3.1 %)</w:t>
            </w:r>
          </w:p>
        </w:tc>
        <w:tc>
          <w:tcPr>
            <w:tcW w:w="0" w:type="auto"/>
          </w:tcPr>
          <w:p w14:paraId="48A9E706" w14:textId="77777777" w:rsidR="00970DED" w:rsidRPr="00C138DE" w:rsidRDefault="00970DED" w:rsidP="00BC6FAF">
            <w:pPr>
              <w:ind w:left="34" w:hanging="34"/>
              <w:jc w:val="center"/>
              <w:rPr>
                <w:rFonts w:eastAsia="Times New Roman" w:cs="Times New Roman"/>
                <w:lang w:val="en"/>
              </w:rPr>
            </w:pPr>
          </w:p>
          <w:p w14:paraId="39109DC2" w14:textId="77777777" w:rsidR="00970DED" w:rsidRPr="00C138DE" w:rsidRDefault="00970DED" w:rsidP="00BC6FAF">
            <w:pPr>
              <w:ind w:left="34" w:hanging="34"/>
              <w:jc w:val="center"/>
              <w:rPr>
                <w:rFonts w:eastAsia="Times New Roman" w:cs="Times New Roman"/>
                <w:lang w:val="en"/>
              </w:rPr>
            </w:pPr>
            <w:r w:rsidRPr="00C138DE">
              <w:rPr>
                <w:rFonts w:eastAsia="Times New Roman" w:cs="Times New Roman"/>
                <w:lang w:val="en"/>
              </w:rPr>
              <w:t>0.627</w:t>
            </w:r>
          </w:p>
        </w:tc>
      </w:tr>
      <w:tr w:rsidR="00970DED" w:rsidRPr="00C138DE" w14:paraId="6B72E98E" w14:textId="77777777" w:rsidTr="007F3D2D">
        <w:trPr>
          <w:jc w:val="center"/>
        </w:trPr>
        <w:tc>
          <w:tcPr>
            <w:tcW w:w="0" w:type="auto"/>
          </w:tcPr>
          <w:p w14:paraId="65394E26" w14:textId="77777777" w:rsidR="00970DED" w:rsidRPr="00C138DE" w:rsidRDefault="00970DED" w:rsidP="00BC6FAF">
            <w:pPr>
              <w:ind w:left="34" w:hanging="34"/>
              <w:jc w:val="center"/>
              <w:rPr>
                <w:rFonts w:eastAsia="Times New Roman" w:cs="Times New Roman"/>
                <w:lang w:val="en"/>
              </w:rPr>
            </w:pPr>
            <w:r w:rsidRPr="00C138DE">
              <w:rPr>
                <w:rFonts w:eastAsia="Times New Roman" w:cs="Times New Roman"/>
                <w:lang w:val="en"/>
              </w:rPr>
              <w:t>Sarcopenia</w:t>
            </w:r>
          </w:p>
          <w:p w14:paraId="627806CE" w14:textId="77777777" w:rsidR="00970DED" w:rsidRPr="00C138DE" w:rsidRDefault="00970DED" w:rsidP="00BC6FAF">
            <w:pPr>
              <w:ind w:left="34" w:hanging="34"/>
              <w:jc w:val="center"/>
              <w:rPr>
                <w:rFonts w:eastAsia="Times New Roman" w:cs="Times New Roman"/>
                <w:lang w:val="en"/>
              </w:rPr>
            </w:pPr>
            <w:r w:rsidRPr="00C138DE">
              <w:rPr>
                <w:rFonts w:eastAsia="Times New Roman" w:cs="Times New Roman"/>
                <w:lang w:val="en"/>
              </w:rPr>
              <w:t>Normal</w:t>
            </w:r>
          </w:p>
          <w:p w14:paraId="31AA0878" w14:textId="77777777" w:rsidR="00970DED" w:rsidRPr="00C138DE" w:rsidRDefault="00970DED" w:rsidP="00BC6FAF">
            <w:pPr>
              <w:ind w:left="34" w:hanging="34"/>
              <w:jc w:val="center"/>
              <w:rPr>
                <w:rFonts w:eastAsia="Times New Roman" w:cs="Times New Roman"/>
                <w:lang w:val="en"/>
              </w:rPr>
            </w:pPr>
            <w:r w:rsidRPr="00C138DE">
              <w:rPr>
                <w:rFonts w:eastAsia="Times New Roman" w:cs="Times New Roman"/>
                <w:lang w:val="en"/>
              </w:rPr>
              <w:t>Sarcopenia</w:t>
            </w:r>
          </w:p>
        </w:tc>
        <w:tc>
          <w:tcPr>
            <w:tcW w:w="0" w:type="auto"/>
          </w:tcPr>
          <w:p w14:paraId="6313B231" w14:textId="77777777" w:rsidR="00970DED" w:rsidRPr="00C138DE" w:rsidRDefault="00970DED" w:rsidP="00BC6FAF">
            <w:pPr>
              <w:ind w:left="34" w:hanging="34"/>
              <w:jc w:val="center"/>
              <w:rPr>
                <w:rFonts w:eastAsia="Times New Roman" w:cs="Times New Roman"/>
                <w:lang w:val="en"/>
              </w:rPr>
            </w:pPr>
          </w:p>
          <w:p w14:paraId="05A7F066" w14:textId="77777777" w:rsidR="00970DED" w:rsidRPr="00C138DE" w:rsidRDefault="00970DED" w:rsidP="00BC6FAF">
            <w:pPr>
              <w:ind w:left="34" w:hanging="34"/>
              <w:jc w:val="center"/>
              <w:rPr>
                <w:rFonts w:eastAsia="Times New Roman" w:cs="Times New Roman"/>
                <w:lang w:val="en"/>
              </w:rPr>
            </w:pPr>
            <w:r w:rsidRPr="00C138DE">
              <w:rPr>
                <w:rFonts w:eastAsia="Times New Roman" w:cs="Times New Roman"/>
                <w:lang w:val="en"/>
              </w:rPr>
              <w:t>254 (97.7%)</w:t>
            </w:r>
          </w:p>
          <w:p w14:paraId="16BE306E" w14:textId="5AB8FD97" w:rsidR="00970DED" w:rsidRPr="00C138DE" w:rsidRDefault="00970DED" w:rsidP="00BC6FAF">
            <w:pPr>
              <w:ind w:left="34" w:hanging="34"/>
              <w:jc w:val="center"/>
              <w:rPr>
                <w:rFonts w:eastAsia="Times New Roman" w:cs="Times New Roman"/>
                <w:lang w:val="en"/>
              </w:rPr>
            </w:pPr>
            <w:r w:rsidRPr="00C138DE">
              <w:rPr>
                <w:rFonts w:eastAsia="Times New Roman" w:cs="Times New Roman"/>
                <w:lang w:val="en"/>
              </w:rPr>
              <w:t>18 (85.7%)</w:t>
            </w:r>
          </w:p>
        </w:tc>
        <w:tc>
          <w:tcPr>
            <w:tcW w:w="0" w:type="auto"/>
          </w:tcPr>
          <w:p w14:paraId="1954A85B" w14:textId="77777777" w:rsidR="00970DED" w:rsidRPr="00C138DE" w:rsidRDefault="00970DED" w:rsidP="00BC6FAF">
            <w:pPr>
              <w:ind w:left="34" w:hanging="34"/>
              <w:jc w:val="center"/>
              <w:rPr>
                <w:rFonts w:eastAsia="Times New Roman" w:cs="Times New Roman"/>
                <w:lang w:val="en"/>
              </w:rPr>
            </w:pPr>
          </w:p>
          <w:p w14:paraId="5FCB6DF8" w14:textId="77777777" w:rsidR="00970DED" w:rsidRPr="00C138DE" w:rsidRDefault="00970DED" w:rsidP="00BC6FAF">
            <w:pPr>
              <w:ind w:left="34" w:hanging="34"/>
              <w:jc w:val="center"/>
              <w:rPr>
                <w:rFonts w:eastAsia="Times New Roman" w:cs="Times New Roman"/>
                <w:lang w:val="en"/>
              </w:rPr>
            </w:pPr>
            <w:r w:rsidRPr="00C138DE">
              <w:rPr>
                <w:rFonts w:eastAsia="Times New Roman" w:cs="Times New Roman"/>
                <w:lang w:val="en"/>
              </w:rPr>
              <w:t>6 (2.3%)</w:t>
            </w:r>
          </w:p>
          <w:p w14:paraId="1A46A4CE" w14:textId="77777777" w:rsidR="00970DED" w:rsidRPr="00C138DE" w:rsidRDefault="00970DED" w:rsidP="00BC6FAF">
            <w:pPr>
              <w:ind w:left="34" w:hanging="34"/>
              <w:jc w:val="center"/>
              <w:rPr>
                <w:rFonts w:eastAsia="Times New Roman" w:cs="Times New Roman"/>
                <w:lang w:val="en"/>
              </w:rPr>
            </w:pPr>
            <w:r w:rsidRPr="00C138DE">
              <w:rPr>
                <w:rFonts w:eastAsia="Times New Roman" w:cs="Times New Roman"/>
                <w:lang w:val="en"/>
              </w:rPr>
              <w:t>3 (14.3%)</w:t>
            </w:r>
          </w:p>
        </w:tc>
        <w:tc>
          <w:tcPr>
            <w:tcW w:w="0" w:type="auto"/>
          </w:tcPr>
          <w:p w14:paraId="232D20EB" w14:textId="77777777" w:rsidR="00970DED" w:rsidRPr="00C138DE" w:rsidRDefault="00970DED" w:rsidP="00BC6FAF">
            <w:pPr>
              <w:ind w:left="34" w:hanging="34"/>
              <w:jc w:val="center"/>
              <w:rPr>
                <w:rFonts w:eastAsia="Times New Roman" w:cs="Times New Roman"/>
                <w:lang w:val="en"/>
              </w:rPr>
            </w:pPr>
          </w:p>
          <w:p w14:paraId="1554A60C" w14:textId="77777777" w:rsidR="00970DED" w:rsidRPr="00C138DE" w:rsidRDefault="00970DED" w:rsidP="00BC6FAF">
            <w:pPr>
              <w:ind w:left="34" w:hanging="34"/>
              <w:jc w:val="center"/>
              <w:rPr>
                <w:rFonts w:eastAsia="Times New Roman" w:cs="Times New Roman"/>
                <w:lang w:val="en"/>
              </w:rPr>
            </w:pPr>
            <w:r w:rsidRPr="00C138DE">
              <w:rPr>
                <w:rFonts w:eastAsia="Times New Roman" w:cs="Times New Roman"/>
                <w:lang w:val="en"/>
              </w:rPr>
              <w:t>0.023</w:t>
            </w:r>
          </w:p>
        </w:tc>
      </w:tr>
      <w:tr w:rsidR="00970DED" w:rsidRPr="00C138DE" w14:paraId="394CCD99" w14:textId="77777777" w:rsidTr="007F3D2D">
        <w:trPr>
          <w:jc w:val="center"/>
        </w:trPr>
        <w:tc>
          <w:tcPr>
            <w:tcW w:w="0" w:type="auto"/>
          </w:tcPr>
          <w:p w14:paraId="3276EC91" w14:textId="77777777" w:rsidR="00970DED" w:rsidRPr="00C138DE" w:rsidRDefault="00970DED" w:rsidP="00BC6FAF">
            <w:pPr>
              <w:ind w:left="34" w:hanging="34"/>
              <w:jc w:val="center"/>
              <w:rPr>
                <w:rFonts w:eastAsia="Times New Roman" w:cs="Times New Roman"/>
                <w:lang w:val="en"/>
              </w:rPr>
            </w:pPr>
            <w:r w:rsidRPr="00C138DE">
              <w:rPr>
                <w:rFonts w:eastAsia="Times New Roman" w:cs="Times New Roman"/>
                <w:lang w:val="en"/>
              </w:rPr>
              <w:t>Age</w:t>
            </w:r>
          </w:p>
          <w:p w14:paraId="175E3372" w14:textId="77777777" w:rsidR="00970DED" w:rsidRPr="00C138DE" w:rsidRDefault="00970DED" w:rsidP="00BC6FAF">
            <w:pPr>
              <w:ind w:left="34" w:hanging="34"/>
              <w:jc w:val="center"/>
              <w:rPr>
                <w:rFonts w:eastAsia="Times New Roman" w:cs="Times New Roman"/>
                <w:lang w:val="en"/>
              </w:rPr>
            </w:pPr>
            <w:r w:rsidRPr="00C138DE">
              <w:rPr>
                <w:rFonts w:eastAsia="Times New Roman" w:cs="Times New Roman"/>
                <w:lang w:val="en"/>
              </w:rPr>
              <w:t xml:space="preserve">Below 60 </w:t>
            </w:r>
            <w:proofErr w:type="spellStart"/>
            <w:r w:rsidRPr="00C138DE">
              <w:rPr>
                <w:rFonts w:eastAsia="Times New Roman" w:cs="Times New Roman"/>
                <w:lang w:val="en"/>
              </w:rPr>
              <w:t>y.o</w:t>
            </w:r>
            <w:proofErr w:type="spellEnd"/>
          </w:p>
          <w:p w14:paraId="13E85BCE" w14:textId="77777777" w:rsidR="00970DED" w:rsidRPr="00C138DE" w:rsidRDefault="00970DED" w:rsidP="00BC6FAF">
            <w:pPr>
              <w:ind w:left="34" w:hanging="34"/>
              <w:jc w:val="center"/>
              <w:rPr>
                <w:rFonts w:eastAsia="Times New Roman" w:cs="Times New Roman"/>
                <w:lang w:val="en"/>
              </w:rPr>
            </w:pPr>
            <w:r w:rsidRPr="00C138DE">
              <w:rPr>
                <w:rFonts w:eastAsia="Times New Roman" w:cs="Times New Roman"/>
                <w:lang w:val="en"/>
              </w:rPr>
              <w:t xml:space="preserve">Above 60 </w:t>
            </w:r>
            <w:proofErr w:type="spellStart"/>
            <w:proofErr w:type="gramStart"/>
            <w:r w:rsidRPr="00C138DE">
              <w:rPr>
                <w:rFonts w:eastAsia="Times New Roman" w:cs="Times New Roman"/>
                <w:lang w:val="en"/>
              </w:rPr>
              <w:t>y.o</w:t>
            </w:r>
            <w:proofErr w:type="spellEnd"/>
            <w:proofErr w:type="gramEnd"/>
          </w:p>
        </w:tc>
        <w:tc>
          <w:tcPr>
            <w:tcW w:w="0" w:type="auto"/>
          </w:tcPr>
          <w:p w14:paraId="5416BAF0" w14:textId="77777777" w:rsidR="00970DED" w:rsidRPr="00C138DE" w:rsidRDefault="00970DED" w:rsidP="00BC6FAF">
            <w:pPr>
              <w:ind w:left="34" w:hanging="34"/>
              <w:jc w:val="center"/>
              <w:rPr>
                <w:rFonts w:eastAsia="Times New Roman" w:cs="Times New Roman"/>
                <w:lang w:val="en"/>
              </w:rPr>
            </w:pPr>
          </w:p>
          <w:p w14:paraId="070E5F82" w14:textId="77777777" w:rsidR="00970DED" w:rsidRPr="00C138DE" w:rsidRDefault="00970DED" w:rsidP="00BC6FAF">
            <w:pPr>
              <w:ind w:left="34" w:hanging="34"/>
              <w:jc w:val="center"/>
              <w:rPr>
                <w:rFonts w:eastAsia="Times New Roman" w:cs="Times New Roman"/>
                <w:lang w:val="en"/>
              </w:rPr>
            </w:pPr>
            <w:r w:rsidRPr="00C138DE">
              <w:rPr>
                <w:rFonts w:eastAsia="Times New Roman" w:cs="Times New Roman"/>
                <w:lang w:val="en"/>
              </w:rPr>
              <w:t>134 (98.35%)</w:t>
            </w:r>
          </w:p>
          <w:p w14:paraId="4D72BB4B" w14:textId="77777777" w:rsidR="00970DED" w:rsidRPr="00C138DE" w:rsidRDefault="00970DED" w:rsidP="00BC6FAF">
            <w:pPr>
              <w:ind w:left="34" w:hanging="34"/>
              <w:jc w:val="center"/>
              <w:rPr>
                <w:rFonts w:eastAsia="Times New Roman" w:cs="Times New Roman"/>
                <w:lang w:val="en"/>
              </w:rPr>
            </w:pPr>
            <w:r w:rsidRPr="00C138DE">
              <w:rPr>
                <w:rFonts w:eastAsia="Times New Roman" w:cs="Times New Roman"/>
                <w:lang w:val="en"/>
              </w:rPr>
              <w:t>138 (95.2%)</w:t>
            </w:r>
          </w:p>
        </w:tc>
        <w:tc>
          <w:tcPr>
            <w:tcW w:w="0" w:type="auto"/>
          </w:tcPr>
          <w:p w14:paraId="45880782" w14:textId="77777777" w:rsidR="00970DED" w:rsidRPr="00C138DE" w:rsidRDefault="00970DED" w:rsidP="00BC6FAF">
            <w:pPr>
              <w:ind w:left="34" w:hanging="34"/>
              <w:jc w:val="center"/>
              <w:rPr>
                <w:rFonts w:eastAsia="Times New Roman" w:cs="Times New Roman"/>
                <w:lang w:val="en"/>
              </w:rPr>
            </w:pPr>
          </w:p>
          <w:p w14:paraId="0E94E936" w14:textId="77777777" w:rsidR="00970DED" w:rsidRPr="00C138DE" w:rsidRDefault="00970DED" w:rsidP="00BC6FAF">
            <w:pPr>
              <w:ind w:left="34" w:hanging="34"/>
              <w:jc w:val="center"/>
              <w:rPr>
                <w:rFonts w:eastAsia="Times New Roman" w:cs="Times New Roman"/>
                <w:lang w:val="en"/>
              </w:rPr>
            </w:pPr>
            <w:r w:rsidRPr="00C138DE">
              <w:rPr>
                <w:rFonts w:eastAsia="Times New Roman" w:cs="Times New Roman"/>
                <w:lang w:val="en"/>
              </w:rPr>
              <w:t>2 (1.5%)</w:t>
            </w:r>
          </w:p>
          <w:p w14:paraId="01C36E13" w14:textId="77777777" w:rsidR="00970DED" w:rsidRPr="00C138DE" w:rsidRDefault="00970DED" w:rsidP="00BC6FAF">
            <w:pPr>
              <w:ind w:left="34" w:hanging="34"/>
              <w:jc w:val="center"/>
              <w:rPr>
                <w:rFonts w:eastAsia="Times New Roman" w:cs="Times New Roman"/>
                <w:lang w:val="en"/>
              </w:rPr>
            </w:pPr>
            <w:r w:rsidRPr="00C138DE">
              <w:rPr>
                <w:rFonts w:eastAsia="Times New Roman" w:cs="Times New Roman"/>
                <w:lang w:val="en"/>
              </w:rPr>
              <w:t>7 (4.8%)</w:t>
            </w:r>
          </w:p>
        </w:tc>
        <w:tc>
          <w:tcPr>
            <w:tcW w:w="0" w:type="auto"/>
          </w:tcPr>
          <w:p w14:paraId="41627DE2" w14:textId="77777777" w:rsidR="00970DED" w:rsidRPr="00C138DE" w:rsidRDefault="00970DED" w:rsidP="00BC6FAF">
            <w:pPr>
              <w:ind w:left="34" w:hanging="34"/>
              <w:jc w:val="center"/>
              <w:rPr>
                <w:rFonts w:eastAsia="Times New Roman" w:cs="Times New Roman"/>
                <w:lang w:val="en"/>
              </w:rPr>
            </w:pPr>
          </w:p>
          <w:p w14:paraId="7A841CAB" w14:textId="77777777" w:rsidR="00970DED" w:rsidRPr="00C138DE" w:rsidRDefault="00970DED" w:rsidP="00BC6FAF">
            <w:pPr>
              <w:ind w:left="34" w:hanging="34"/>
              <w:jc w:val="center"/>
              <w:rPr>
                <w:rFonts w:eastAsia="Times New Roman" w:cs="Times New Roman"/>
                <w:lang w:val="en"/>
              </w:rPr>
            </w:pPr>
            <w:r w:rsidRPr="00C138DE">
              <w:rPr>
                <w:rFonts w:eastAsia="Times New Roman" w:cs="Times New Roman"/>
                <w:lang w:val="en"/>
              </w:rPr>
              <w:t>0.109</w:t>
            </w:r>
          </w:p>
        </w:tc>
      </w:tr>
      <w:tr w:rsidR="00970DED" w:rsidRPr="00C138DE" w14:paraId="5D977C8B" w14:textId="77777777" w:rsidTr="007F3D2D">
        <w:trPr>
          <w:jc w:val="center"/>
        </w:trPr>
        <w:tc>
          <w:tcPr>
            <w:tcW w:w="0" w:type="auto"/>
          </w:tcPr>
          <w:p w14:paraId="52783BA0" w14:textId="77777777" w:rsidR="00970DED" w:rsidRPr="00C138DE" w:rsidRDefault="00970DED" w:rsidP="00BC6FAF">
            <w:pPr>
              <w:ind w:left="34" w:hanging="34"/>
              <w:jc w:val="center"/>
              <w:rPr>
                <w:rFonts w:eastAsia="Times New Roman" w:cs="Times New Roman"/>
                <w:lang w:val="en"/>
              </w:rPr>
            </w:pPr>
            <w:r w:rsidRPr="00C138DE">
              <w:rPr>
                <w:rFonts w:eastAsia="Times New Roman" w:cs="Times New Roman"/>
                <w:lang w:val="en"/>
              </w:rPr>
              <w:t>Nutritional status</w:t>
            </w:r>
          </w:p>
          <w:p w14:paraId="6994492E" w14:textId="77777777" w:rsidR="00970DED" w:rsidRPr="00C138DE" w:rsidRDefault="00970DED" w:rsidP="00BC6FAF">
            <w:pPr>
              <w:ind w:left="34" w:hanging="34"/>
              <w:jc w:val="center"/>
              <w:rPr>
                <w:rFonts w:eastAsia="Times New Roman" w:cs="Times New Roman"/>
                <w:lang w:val="en"/>
              </w:rPr>
            </w:pPr>
            <w:r w:rsidRPr="00C138DE">
              <w:rPr>
                <w:rFonts w:eastAsia="Times New Roman" w:cs="Times New Roman"/>
                <w:lang w:val="en"/>
              </w:rPr>
              <w:t>Normal</w:t>
            </w:r>
          </w:p>
          <w:p w14:paraId="78C864AA" w14:textId="77777777" w:rsidR="00970DED" w:rsidRPr="00C138DE" w:rsidRDefault="00970DED" w:rsidP="00BC6FAF">
            <w:pPr>
              <w:ind w:left="34" w:hanging="34"/>
              <w:jc w:val="center"/>
              <w:rPr>
                <w:rFonts w:eastAsia="Times New Roman" w:cs="Times New Roman"/>
                <w:lang w:val="en"/>
              </w:rPr>
            </w:pPr>
            <w:r w:rsidRPr="00C138DE">
              <w:rPr>
                <w:rFonts w:eastAsia="Times New Roman" w:cs="Times New Roman"/>
                <w:lang w:val="en"/>
              </w:rPr>
              <w:t>Risk at malnutrition or malnutrition</w:t>
            </w:r>
          </w:p>
        </w:tc>
        <w:tc>
          <w:tcPr>
            <w:tcW w:w="0" w:type="auto"/>
          </w:tcPr>
          <w:p w14:paraId="3ACAD0BC" w14:textId="77777777" w:rsidR="00970DED" w:rsidRPr="00C138DE" w:rsidRDefault="00970DED" w:rsidP="00BC6FAF">
            <w:pPr>
              <w:ind w:left="34" w:hanging="34"/>
              <w:jc w:val="center"/>
              <w:rPr>
                <w:rFonts w:eastAsia="Times New Roman" w:cs="Times New Roman"/>
                <w:lang w:val="en"/>
              </w:rPr>
            </w:pPr>
          </w:p>
          <w:p w14:paraId="11B68342" w14:textId="77777777" w:rsidR="00970DED" w:rsidRPr="00C138DE" w:rsidRDefault="00970DED" w:rsidP="00BC6FAF">
            <w:pPr>
              <w:ind w:left="34" w:hanging="34"/>
              <w:jc w:val="center"/>
              <w:rPr>
                <w:rFonts w:eastAsia="Times New Roman" w:cs="Times New Roman"/>
                <w:lang w:val="en"/>
              </w:rPr>
            </w:pPr>
            <w:r w:rsidRPr="00C138DE">
              <w:rPr>
                <w:rFonts w:eastAsia="Times New Roman" w:cs="Times New Roman"/>
                <w:lang w:val="en"/>
              </w:rPr>
              <w:t>197 (96.6%)</w:t>
            </w:r>
          </w:p>
          <w:p w14:paraId="21D62EFB" w14:textId="77777777" w:rsidR="00970DED" w:rsidRPr="00C138DE" w:rsidRDefault="00970DED" w:rsidP="00BC6FAF">
            <w:pPr>
              <w:ind w:left="34" w:hanging="34"/>
              <w:jc w:val="center"/>
              <w:rPr>
                <w:rFonts w:eastAsia="Times New Roman" w:cs="Times New Roman"/>
                <w:lang w:val="en"/>
              </w:rPr>
            </w:pPr>
            <w:r w:rsidRPr="00C138DE">
              <w:rPr>
                <w:rFonts w:eastAsia="Times New Roman" w:cs="Times New Roman"/>
                <w:lang w:val="en"/>
              </w:rPr>
              <w:t>75 (97.4%)</w:t>
            </w:r>
          </w:p>
        </w:tc>
        <w:tc>
          <w:tcPr>
            <w:tcW w:w="0" w:type="auto"/>
          </w:tcPr>
          <w:p w14:paraId="30D508E9" w14:textId="77777777" w:rsidR="00970DED" w:rsidRPr="00C138DE" w:rsidRDefault="00970DED" w:rsidP="00BC6FAF">
            <w:pPr>
              <w:ind w:left="34" w:hanging="34"/>
              <w:jc w:val="center"/>
              <w:rPr>
                <w:rFonts w:eastAsia="Times New Roman" w:cs="Times New Roman"/>
                <w:lang w:val="en"/>
              </w:rPr>
            </w:pPr>
          </w:p>
          <w:p w14:paraId="77C38F2F" w14:textId="77777777" w:rsidR="00970DED" w:rsidRPr="00C138DE" w:rsidRDefault="00970DED" w:rsidP="00BC6FAF">
            <w:pPr>
              <w:ind w:left="34" w:hanging="34"/>
              <w:jc w:val="center"/>
              <w:rPr>
                <w:rFonts w:eastAsia="Times New Roman" w:cs="Times New Roman"/>
                <w:lang w:val="en"/>
              </w:rPr>
            </w:pPr>
            <w:r w:rsidRPr="00C138DE">
              <w:rPr>
                <w:rFonts w:eastAsia="Times New Roman" w:cs="Times New Roman"/>
                <w:lang w:val="en"/>
              </w:rPr>
              <w:t>7 (3.4%)</w:t>
            </w:r>
          </w:p>
          <w:p w14:paraId="2458F54A" w14:textId="77777777" w:rsidR="00970DED" w:rsidRPr="00C138DE" w:rsidRDefault="00970DED" w:rsidP="00BC6FAF">
            <w:pPr>
              <w:ind w:left="34" w:hanging="34"/>
              <w:jc w:val="center"/>
              <w:rPr>
                <w:rFonts w:eastAsia="Times New Roman" w:cs="Times New Roman"/>
                <w:lang w:val="en"/>
              </w:rPr>
            </w:pPr>
            <w:r w:rsidRPr="00C138DE">
              <w:rPr>
                <w:rFonts w:eastAsia="Times New Roman" w:cs="Times New Roman"/>
                <w:lang w:val="en"/>
              </w:rPr>
              <w:t>2 (2.6%)</w:t>
            </w:r>
          </w:p>
        </w:tc>
        <w:tc>
          <w:tcPr>
            <w:tcW w:w="0" w:type="auto"/>
          </w:tcPr>
          <w:p w14:paraId="03C6CB10" w14:textId="77777777" w:rsidR="00970DED" w:rsidRPr="00C138DE" w:rsidRDefault="00970DED" w:rsidP="00BC6FAF">
            <w:pPr>
              <w:ind w:left="34" w:hanging="34"/>
              <w:jc w:val="center"/>
              <w:rPr>
                <w:rFonts w:eastAsia="Times New Roman" w:cs="Times New Roman"/>
                <w:lang w:val="en"/>
              </w:rPr>
            </w:pPr>
          </w:p>
          <w:p w14:paraId="7C68DA9C" w14:textId="77777777" w:rsidR="00970DED" w:rsidRPr="00C138DE" w:rsidRDefault="00970DED" w:rsidP="00BC6FAF">
            <w:pPr>
              <w:ind w:left="34" w:hanging="34"/>
              <w:jc w:val="center"/>
              <w:rPr>
                <w:rFonts w:eastAsia="Times New Roman" w:cs="Times New Roman"/>
                <w:lang w:val="en"/>
              </w:rPr>
            </w:pPr>
            <w:r w:rsidRPr="00C138DE">
              <w:rPr>
                <w:rFonts w:eastAsia="Times New Roman" w:cs="Times New Roman"/>
                <w:lang w:val="en"/>
              </w:rPr>
              <w:t>0.53</w:t>
            </w:r>
          </w:p>
        </w:tc>
      </w:tr>
    </w:tbl>
    <w:p w14:paraId="1791D3AA" w14:textId="77777777" w:rsidR="00970DED" w:rsidRPr="00C138DE" w:rsidRDefault="00970DED" w:rsidP="00970DED">
      <w:pPr>
        <w:ind w:left="284" w:right="288" w:firstLine="720"/>
        <w:jc w:val="both"/>
        <w:rPr>
          <w:rFonts w:eastAsia="Times New Roman" w:cs="Times New Roman"/>
          <w:lang w:val="en"/>
        </w:rPr>
      </w:pPr>
    </w:p>
    <w:p w14:paraId="5071DB34" w14:textId="375B00D3" w:rsidR="00970DED" w:rsidRPr="00C138DE" w:rsidRDefault="00970DED" w:rsidP="00BC6FAF">
      <w:pPr>
        <w:ind w:left="284" w:right="288"/>
        <w:jc w:val="center"/>
        <w:rPr>
          <w:rFonts w:eastAsia="Times New Roman" w:cs="Times New Roman"/>
          <w:b/>
          <w:bCs/>
          <w:lang w:val="en"/>
        </w:rPr>
      </w:pPr>
      <w:r w:rsidRPr="00C138DE">
        <w:rPr>
          <w:rFonts w:eastAsia="Times New Roman" w:cs="Times New Roman"/>
          <w:b/>
          <w:bCs/>
          <w:lang w:val="en"/>
        </w:rPr>
        <w:t xml:space="preserve">Table </w:t>
      </w:r>
      <w:r w:rsidR="00E93CFB" w:rsidRPr="00C138DE">
        <w:rPr>
          <w:rFonts w:eastAsia="Times New Roman" w:cs="Times New Roman"/>
          <w:b/>
          <w:bCs/>
          <w:lang w:val="en"/>
        </w:rPr>
        <w:t>4</w:t>
      </w:r>
      <w:r w:rsidRPr="00C138DE">
        <w:rPr>
          <w:rFonts w:eastAsia="Times New Roman" w:cs="Times New Roman"/>
          <w:b/>
          <w:bCs/>
          <w:lang w:val="en"/>
        </w:rPr>
        <w:t xml:space="preserve">. </w:t>
      </w:r>
      <w:r w:rsidRPr="00C138DE">
        <w:rPr>
          <w:rFonts w:eastAsia="Times New Roman" w:cs="Times New Roman"/>
          <w:lang w:val="en"/>
        </w:rPr>
        <w:t>PR Value of Independent Variable</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600"/>
        <w:gridCol w:w="2847"/>
        <w:gridCol w:w="973"/>
      </w:tblGrid>
      <w:tr w:rsidR="00970DED" w:rsidRPr="00C138DE" w14:paraId="4794F500" w14:textId="77777777" w:rsidTr="007F3D2D">
        <w:trPr>
          <w:jc w:val="center"/>
        </w:trPr>
        <w:tc>
          <w:tcPr>
            <w:tcW w:w="0" w:type="auto"/>
          </w:tcPr>
          <w:p w14:paraId="3AF32771" w14:textId="77777777" w:rsidR="00970DED" w:rsidRPr="00C138DE" w:rsidRDefault="00970DED" w:rsidP="007F3D2D">
            <w:pPr>
              <w:jc w:val="center"/>
              <w:rPr>
                <w:rFonts w:eastAsia="Times New Roman" w:cs="Times New Roman"/>
                <w:b/>
                <w:bCs/>
                <w:lang w:val="en"/>
              </w:rPr>
            </w:pPr>
            <w:r w:rsidRPr="00C138DE">
              <w:rPr>
                <w:rFonts w:eastAsia="Times New Roman" w:cs="Times New Roman"/>
                <w:b/>
                <w:bCs/>
                <w:lang w:val="en"/>
              </w:rPr>
              <w:t>Variables</w:t>
            </w:r>
          </w:p>
        </w:tc>
        <w:tc>
          <w:tcPr>
            <w:tcW w:w="0" w:type="auto"/>
          </w:tcPr>
          <w:p w14:paraId="1D3CF3D1" w14:textId="77777777" w:rsidR="00970DED" w:rsidRPr="00C138DE" w:rsidRDefault="00970DED" w:rsidP="007F3D2D">
            <w:pPr>
              <w:jc w:val="center"/>
              <w:rPr>
                <w:rFonts w:eastAsia="Times New Roman" w:cs="Times New Roman"/>
                <w:b/>
                <w:bCs/>
                <w:lang w:val="en"/>
              </w:rPr>
            </w:pPr>
            <w:r w:rsidRPr="00C138DE">
              <w:rPr>
                <w:rFonts w:eastAsia="Times New Roman" w:cs="Times New Roman"/>
                <w:b/>
                <w:bCs/>
                <w:lang w:val="en"/>
              </w:rPr>
              <w:t>Crude PR</w:t>
            </w:r>
          </w:p>
        </w:tc>
        <w:tc>
          <w:tcPr>
            <w:tcW w:w="0" w:type="auto"/>
          </w:tcPr>
          <w:p w14:paraId="466263A1" w14:textId="77777777" w:rsidR="00970DED" w:rsidRPr="00C138DE" w:rsidRDefault="00970DED" w:rsidP="007F3D2D">
            <w:pPr>
              <w:jc w:val="center"/>
              <w:rPr>
                <w:rFonts w:eastAsia="Times New Roman" w:cs="Times New Roman"/>
                <w:b/>
                <w:bCs/>
                <w:lang w:val="en"/>
              </w:rPr>
            </w:pPr>
            <w:r w:rsidRPr="00C138DE">
              <w:rPr>
                <w:rFonts w:eastAsia="Times New Roman" w:cs="Times New Roman"/>
                <w:b/>
                <w:bCs/>
                <w:lang w:val="en"/>
              </w:rPr>
              <w:t>P Value</w:t>
            </w:r>
          </w:p>
        </w:tc>
      </w:tr>
      <w:tr w:rsidR="00970DED" w:rsidRPr="00C138DE" w14:paraId="031C7E31" w14:textId="77777777" w:rsidTr="007F3D2D">
        <w:trPr>
          <w:jc w:val="center"/>
        </w:trPr>
        <w:tc>
          <w:tcPr>
            <w:tcW w:w="0" w:type="auto"/>
          </w:tcPr>
          <w:p w14:paraId="3887CEDA" w14:textId="77777777" w:rsidR="00970DED" w:rsidRPr="00C138DE" w:rsidRDefault="00970DED" w:rsidP="007F3D2D">
            <w:pPr>
              <w:jc w:val="center"/>
              <w:rPr>
                <w:rFonts w:eastAsia="Times New Roman" w:cs="Times New Roman"/>
                <w:lang w:val="en"/>
              </w:rPr>
            </w:pPr>
            <w:r w:rsidRPr="00C138DE">
              <w:rPr>
                <w:rFonts w:eastAsia="Times New Roman" w:cs="Times New Roman"/>
                <w:lang w:val="en"/>
              </w:rPr>
              <w:t>Gender</w:t>
            </w:r>
          </w:p>
          <w:p w14:paraId="4D175078" w14:textId="77777777" w:rsidR="00970DED" w:rsidRPr="00C138DE" w:rsidRDefault="00970DED" w:rsidP="007F3D2D">
            <w:pPr>
              <w:jc w:val="center"/>
              <w:rPr>
                <w:rFonts w:eastAsia="Times New Roman" w:cs="Times New Roman"/>
                <w:lang w:val="en"/>
              </w:rPr>
            </w:pPr>
            <w:r w:rsidRPr="00C138DE">
              <w:rPr>
                <w:rFonts w:eastAsia="Times New Roman" w:cs="Times New Roman"/>
                <w:lang w:val="en"/>
              </w:rPr>
              <w:t xml:space="preserve">Male </w:t>
            </w:r>
          </w:p>
          <w:p w14:paraId="1276EC2E" w14:textId="77777777" w:rsidR="00970DED" w:rsidRPr="00C138DE" w:rsidRDefault="00970DED" w:rsidP="007F3D2D">
            <w:pPr>
              <w:jc w:val="center"/>
              <w:rPr>
                <w:rFonts w:eastAsia="Times New Roman" w:cs="Times New Roman"/>
                <w:lang w:val="en"/>
              </w:rPr>
            </w:pPr>
            <w:r w:rsidRPr="00C138DE">
              <w:rPr>
                <w:rFonts w:eastAsia="Times New Roman" w:cs="Times New Roman"/>
                <w:lang w:val="en"/>
              </w:rPr>
              <w:t>Female</w:t>
            </w:r>
          </w:p>
        </w:tc>
        <w:tc>
          <w:tcPr>
            <w:tcW w:w="0" w:type="auto"/>
          </w:tcPr>
          <w:p w14:paraId="774F595B" w14:textId="77777777" w:rsidR="00970DED" w:rsidRPr="00C138DE" w:rsidRDefault="00970DED" w:rsidP="007F3D2D">
            <w:pPr>
              <w:jc w:val="center"/>
              <w:rPr>
                <w:rFonts w:eastAsia="Times New Roman" w:cs="Times New Roman"/>
                <w:lang w:val="en"/>
              </w:rPr>
            </w:pPr>
          </w:p>
          <w:p w14:paraId="3A23DE30" w14:textId="77777777" w:rsidR="00970DED" w:rsidRPr="00C138DE" w:rsidRDefault="00970DED" w:rsidP="007F3D2D">
            <w:pPr>
              <w:jc w:val="center"/>
              <w:rPr>
                <w:rFonts w:eastAsia="Times New Roman" w:cs="Times New Roman"/>
                <w:lang w:val="en"/>
              </w:rPr>
            </w:pPr>
            <w:r w:rsidRPr="00C138DE">
              <w:rPr>
                <w:rFonts w:eastAsia="Times New Roman" w:cs="Times New Roman"/>
                <w:lang w:val="en"/>
              </w:rPr>
              <w:t>1</w:t>
            </w:r>
          </w:p>
          <w:p w14:paraId="0D0FA118" w14:textId="77777777" w:rsidR="00970DED" w:rsidRPr="00C138DE" w:rsidRDefault="00970DED" w:rsidP="007F3D2D">
            <w:pPr>
              <w:jc w:val="center"/>
              <w:rPr>
                <w:rFonts w:eastAsia="Times New Roman" w:cs="Times New Roman"/>
                <w:lang w:val="en"/>
              </w:rPr>
            </w:pPr>
            <w:r w:rsidRPr="00C138DE">
              <w:rPr>
                <w:rFonts w:eastAsia="Times New Roman" w:cs="Times New Roman"/>
                <w:lang w:val="en"/>
              </w:rPr>
              <w:t>0.942 (95% CI 0.24 – 3.68)</w:t>
            </w:r>
          </w:p>
        </w:tc>
        <w:tc>
          <w:tcPr>
            <w:tcW w:w="0" w:type="auto"/>
          </w:tcPr>
          <w:p w14:paraId="2BA3DE67" w14:textId="77777777" w:rsidR="00970DED" w:rsidRPr="00C138DE" w:rsidRDefault="00970DED" w:rsidP="007F3D2D">
            <w:pPr>
              <w:jc w:val="center"/>
              <w:rPr>
                <w:rFonts w:eastAsia="Times New Roman" w:cs="Times New Roman"/>
                <w:lang w:val="en"/>
              </w:rPr>
            </w:pPr>
          </w:p>
          <w:p w14:paraId="4897D03D" w14:textId="77777777" w:rsidR="00970DED" w:rsidRPr="00C138DE" w:rsidRDefault="00970DED" w:rsidP="007F3D2D">
            <w:pPr>
              <w:jc w:val="center"/>
              <w:rPr>
                <w:rFonts w:eastAsia="Times New Roman" w:cs="Times New Roman"/>
                <w:lang w:val="en"/>
              </w:rPr>
            </w:pPr>
            <w:r w:rsidRPr="00C138DE">
              <w:rPr>
                <w:rFonts w:eastAsia="Times New Roman" w:cs="Times New Roman"/>
                <w:lang w:val="en"/>
              </w:rPr>
              <w:t>0.627</w:t>
            </w:r>
          </w:p>
        </w:tc>
      </w:tr>
      <w:tr w:rsidR="00970DED" w:rsidRPr="00C138DE" w14:paraId="4B7F61E1" w14:textId="77777777" w:rsidTr="007F3D2D">
        <w:trPr>
          <w:jc w:val="center"/>
        </w:trPr>
        <w:tc>
          <w:tcPr>
            <w:tcW w:w="0" w:type="auto"/>
          </w:tcPr>
          <w:p w14:paraId="7721E2F5" w14:textId="77777777" w:rsidR="00970DED" w:rsidRPr="00C138DE" w:rsidRDefault="00970DED" w:rsidP="007F3D2D">
            <w:pPr>
              <w:jc w:val="center"/>
              <w:rPr>
                <w:rFonts w:eastAsia="Times New Roman" w:cs="Times New Roman"/>
                <w:lang w:val="en"/>
              </w:rPr>
            </w:pPr>
            <w:r w:rsidRPr="00C138DE">
              <w:rPr>
                <w:rFonts w:eastAsia="Times New Roman" w:cs="Times New Roman"/>
                <w:lang w:val="en"/>
              </w:rPr>
              <w:t>Sarcopenia</w:t>
            </w:r>
          </w:p>
          <w:p w14:paraId="6A0CC3F2" w14:textId="77777777" w:rsidR="00970DED" w:rsidRPr="00C138DE" w:rsidRDefault="00970DED" w:rsidP="007F3D2D">
            <w:pPr>
              <w:jc w:val="center"/>
              <w:rPr>
                <w:rFonts w:eastAsia="Times New Roman" w:cs="Times New Roman"/>
                <w:lang w:val="en"/>
              </w:rPr>
            </w:pPr>
            <w:r w:rsidRPr="00C138DE">
              <w:rPr>
                <w:rFonts w:eastAsia="Times New Roman" w:cs="Times New Roman"/>
                <w:lang w:val="en"/>
              </w:rPr>
              <w:t>Normal</w:t>
            </w:r>
          </w:p>
          <w:p w14:paraId="06C5FDE6" w14:textId="77777777" w:rsidR="00970DED" w:rsidRPr="00C138DE" w:rsidRDefault="00970DED" w:rsidP="007F3D2D">
            <w:pPr>
              <w:jc w:val="center"/>
              <w:rPr>
                <w:rFonts w:eastAsia="Times New Roman" w:cs="Times New Roman"/>
                <w:lang w:val="en"/>
              </w:rPr>
            </w:pPr>
            <w:r w:rsidRPr="00C138DE">
              <w:rPr>
                <w:rFonts w:eastAsia="Times New Roman" w:cs="Times New Roman"/>
                <w:lang w:val="en"/>
              </w:rPr>
              <w:t>Sarcopenia</w:t>
            </w:r>
          </w:p>
        </w:tc>
        <w:tc>
          <w:tcPr>
            <w:tcW w:w="0" w:type="auto"/>
          </w:tcPr>
          <w:p w14:paraId="74AA1201" w14:textId="77777777" w:rsidR="00970DED" w:rsidRPr="00C138DE" w:rsidRDefault="00970DED" w:rsidP="007F3D2D">
            <w:pPr>
              <w:jc w:val="center"/>
              <w:rPr>
                <w:rFonts w:eastAsia="Times New Roman" w:cs="Times New Roman"/>
                <w:lang w:val="en"/>
              </w:rPr>
            </w:pPr>
          </w:p>
          <w:p w14:paraId="3B81AC12" w14:textId="77777777" w:rsidR="00970DED" w:rsidRPr="00C138DE" w:rsidRDefault="00970DED" w:rsidP="007F3D2D">
            <w:pPr>
              <w:jc w:val="center"/>
              <w:rPr>
                <w:rFonts w:eastAsia="Times New Roman" w:cs="Times New Roman"/>
                <w:lang w:val="en"/>
              </w:rPr>
            </w:pPr>
            <w:r w:rsidRPr="00C138DE">
              <w:rPr>
                <w:rFonts w:eastAsia="Times New Roman" w:cs="Times New Roman"/>
                <w:lang w:val="en"/>
              </w:rPr>
              <w:t>1</w:t>
            </w:r>
          </w:p>
          <w:p w14:paraId="78B3042E" w14:textId="77777777" w:rsidR="00970DED" w:rsidRPr="00C138DE" w:rsidRDefault="00970DED" w:rsidP="007F3D2D">
            <w:pPr>
              <w:jc w:val="center"/>
              <w:rPr>
                <w:rFonts w:eastAsia="Times New Roman" w:cs="Times New Roman"/>
                <w:lang w:val="en"/>
              </w:rPr>
            </w:pPr>
            <w:r w:rsidRPr="00C138DE">
              <w:rPr>
                <w:rFonts w:eastAsia="Times New Roman" w:cs="Times New Roman"/>
                <w:lang w:val="en"/>
              </w:rPr>
              <w:t>6.19 (95% CI 1.66 – 23)</w:t>
            </w:r>
          </w:p>
        </w:tc>
        <w:tc>
          <w:tcPr>
            <w:tcW w:w="0" w:type="auto"/>
          </w:tcPr>
          <w:p w14:paraId="06B44A28" w14:textId="77777777" w:rsidR="00970DED" w:rsidRPr="00C138DE" w:rsidRDefault="00970DED" w:rsidP="007F3D2D">
            <w:pPr>
              <w:jc w:val="center"/>
              <w:rPr>
                <w:rFonts w:eastAsia="Times New Roman" w:cs="Times New Roman"/>
                <w:lang w:val="en"/>
              </w:rPr>
            </w:pPr>
          </w:p>
          <w:p w14:paraId="4D8D944E" w14:textId="77777777" w:rsidR="00970DED" w:rsidRPr="00C138DE" w:rsidRDefault="00970DED" w:rsidP="007F3D2D">
            <w:pPr>
              <w:jc w:val="center"/>
              <w:rPr>
                <w:rFonts w:eastAsia="Times New Roman" w:cs="Times New Roman"/>
                <w:lang w:val="en"/>
              </w:rPr>
            </w:pPr>
            <w:r w:rsidRPr="00C138DE">
              <w:rPr>
                <w:rFonts w:eastAsia="Times New Roman" w:cs="Times New Roman"/>
                <w:lang w:val="en"/>
              </w:rPr>
              <w:t>0.023</w:t>
            </w:r>
          </w:p>
        </w:tc>
      </w:tr>
      <w:tr w:rsidR="00970DED" w:rsidRPr="00C138DE" w14:paraId="7B3049AE" w14:textId="77777777" w:rsidTr="007F3D2D">
        <w:trPr>
          <w:jc w:val="center"/>
        </w:trPr>
        <w:tc>
          <w:tcPr>
            <w:tcW w:w="0" w:type="auto"/>
          </w:tcPr>
          <w:p w14:paraId="70DAE401" w14:textId="77777777" w:rsidR="00970DED" w:rsidRPr="00C138DE" w:rsidRDefault="00970DED" w:rsidP="007F3D2D">
            <w:pPr>
              <w:jc w:val="center"/>
              <w:rPr>
                <w:rFonts w:eastAsia="Times New Roman" w:cs="Times New Roman"/>
                <w:lang w:val="en"/>
              </w:rPr>
            </w:pPr>
            <w:r w:rsidRPr="00C138DE">
              <w:rPr>
                <w:rFonts w:eastAsia="Times New Roman" w:cs="Times New Roman"/>
                <w:lang w:val="en"/>
              </w:rPr>
              <w:t>Age</w:t>
            </w:r>
          </w:p>
          <w:p w14:paraId="1869F074" w14:textId="77777777" w:rsidR="00970DED" w:rsidRPr="00C138DE" w:rsidRDefault="00970DED" w:rsidP="007F3D2D">
            <w:pPr>
              <w:jc w:val="center"/>
              <w:rPr>
                <w:rFonts w:eastAsia="Times New Roman" w:cs="Times New Roman"/>
                <w:lang w:val="en"/>
              </w:rPr>
            </w:pPr>
            <w:r w:rsidRPr="00C138DE">
              <w:rPr>
                <w:rFonts w:eastAsia="Times New Roman" w:cs="Times New Roman"/>
                <w:lang w:val="en"/>
              </w:rPr>
              <w:t xml:space="preserve">Below 60 </w:t>
            </w:r>
            <w:proofErr w:type="spellStart"/>
            <w:r w:rsidRPr="00C138DE">
              <w:rPr>
                <w:rFonts w:eastAsia="Times New Roman" w:cs="Times New Roman"/>
                <w:lang w:val="en"/>
              </w:rPr>
              <w:t>y.o</w:t>
            </w:r>
            <w:proofErr w:type="spellEnd"/>
          </w:p>
          <w:p w14:paraId="333A4FCF" w14:textId="77777777" w:rsidR="00970DED" w:rsidRPr="00C138DE" w:rsidRDefault="00970DED" w:rsidP="007F3D2D">
            <w:pPr>
              <w:jc w:val="center"/>
              <w:rPr>
                <w:rFonts w:eastAsia="Times New Roman" w:cs="Times New Roman"/>
                <w:lang w:val="en"/>
              </w:rPr>
            </w:pPr>
            <w:r w:rsidRPr="00C138DE">
              <w:rPr>
                <w:rFonts w:eastAsia="Times New Roman" w:cs="Times New Roman"/>
                <w:lang w:val="en"/>
              </w:rPr>
              <w:t xml:space="preserve">Above 60 </w:t>
            </w:r>
            <w:proofErr w:type="spellStart"/>
            <w:proofErr w:type="gramStart"/>
            <w:r w:rsidRPr="00C138DE">
              <w:rPr>
                <w:rFonts w:eastAsia="Times New Roman" w:cs="Times New Roman"/>
                <w:lang w:val="en"/>
              </w:rPr>
              <w:t>y.o</w:t>
            </w:r>
            <w:proofErr w:type="spellEnd"/>
            <w:proofErr w:type="gramEnd"/>
          </w:p>
        </w:tc>
        <w:tc>
          <w:tcPr>
            <w:tcW w:w="0" w:type="auto"/>
          </w:tcPr>
          <w:p w14:paraId="5F147E7B" w14:textId="77777777" w:rsidR="00970DED" w:rsidRPr="00C138DE" w:rsidRDefault="00970DED" w:rsidP="007F3D2D">
            <w:pPr>
              <w:jc w:val="center"/>
              <w:rPr>
                <w:rFonts w:eastAsia="Times New Roman" w:cs="Times New Roman"/>
                <w:lang w:val="en"/>
              </w:rPr>
            </w:pPr>
          </w:p>
          <w:p w14:paraId="30451D0F" w14:textId="77777777" w:rsidR="00970DED" w:rsidRPr="00C138DE" w:rsidRDefault="00970DED" w:rsidP="007F3D2D">
            <w:pPr>
              <w:jc w:val="center"/>
              <w:rPr>
                <w:rFonts w:eastAsia="Times New Roman" w:cs="Times New Roman"/>
                <w:lang w:val="en"/>
              </w:rPr>
            </w:pPr>
            <w:r w:rsidRPr="00C138DE">
              <w:rPr>
                <w:rFonts w:eastAsia="Times New Roman" w:cs="Times New Roman"/>
                <w:lang w:val="en"/>
              </w:rPr>
              <w:t>1</w:t>
            </w:r>
          </w:p>
          <w:p w14:paraId="6678A343" w14:textId="77777777" w:rsidR="00970DED" w:rsidRPr="00C138DE" w:rsidRDefault="00970DED" w:rsidP="007F3D2D">
            <w:pPr>
              <w:jc w:val="center"/>
              <w:rPr>
                <w:rFonts w:eastAsia="Times New Roman" w:cs="Times New Roman"/>
                <w:lang w:val="en"/>
              </w:rPr>
            </w:pPr>
            <w:r w:rsidRPr="00C138DE">
              <w:rPr>
                <w:rFonts w:eastAsia="Times New Roman" w:cs="Times New Roman"/>
                <w:lang w:val="en"/>
              </w:rPr>
              <w:t>3.28 (95% CI 0.694 – 15.52)</w:t>
            </w:r>
          </w:p>
        </w:tc>
        <w:tc>
          <w:tcPr>
            <w:tcW w:w="0" w:type="auto"/>
          </w:tcPr>
          <w:p w14:paraId="3D1C20E0" w14:textId="77777777" w:rsidR="00970DED" w:rsidRPr="00C138DE" w:rsidRDefault="00970DED" w:rsidP="007F3D2D">
            <w:pPr>
              <w:jc w:val="center"/>
              <w:rPr>
                <w:rFonts w:eastAsia="Times New Roman" w:cs="Times New Roman"/>
                <w:lang w:val="en"/>
              </w:rPr>
            </w:pPr>
          </w:p>
          <w:p w14:paraId="7B25FB8D" w14:textId="77777777" w:rsidR="00970DED" w:rsidRPr="00C138DE" w:rsidRDefault="00970DED" w:rsidP="007F3D2D">
            <w:pPr>
              <w:jc w:val="center"/>
              <w:rPr>
                <w:rFonts w:eastAsia="Times New Roman" w:cs="Times New Roman"/>
                <w:lang w:val="en"/>
              </w:rPr>
            </w:pPr>
            <w:r w:rsidRPr="00C138DE">
              <w:rPr>
                <w:rFonts w:eastAsia="Times New Roman" w:cs="Times New Roman"/>
                <w:lang w:val="en"/>
              </w:rPr>
              <w:t>0.109</w:t>
            </w:r>
          </w:p>
        </w:tc>
      </w:tr>
      <w:tr w:rsidR="00970DED" w:rsidRPr="00C138DE" w14:paraId="5FAF2643" w14:textId="77777777" w:rsidTr="007F3D2D">
        <w:trPr>
          <w:jc w:val="center"/>
        </w:trPr>
        <w:tc>
          <w:tcPr>
            <w:tcW w:w="0" w:type="auto"/>
          </w:tcPr>
          <w:p w14:paraId="068782FD" w14:textId="77777777" w:rsidR="00970DED" w:rsidRPr="00C138DE" w:rsidRDefault="00970DED" w:rsidP="007F3D2D">
            <w:pPr>
              <w:jc w:val="center"/>
              <w:rPr>
                <w:rFonts w:eastAsia="Times New Roman" w:cs="Times New Roman"/>
                <w:lang w:val="en"/>
              </w:rPr>
            </w:pPr>
            <w:r w:rsidRPr="00C138DE">
              <w:rPr>
                <w:rFonts w:eastAsia="Times New Roman" w:cs="Times New Roman"/>
                <w:lang w:val="en"/>
              </w:rPr>
              <w:t>Nutritional status</w:t>
            </w:r>
          </w:p>
          <w:p w14:paraId="17B8D13F" w14:textId="77777777" w:rsidR="00970DED" w:rsidRPr="00C138DE" w:rsidRDefault="00970DED" w:rsidP="007F3D2D">
            <w:pPr>
              <w:jc w:val="center"/>
              <w:rPr>
                <w:rFonts w:eastAsia="Times New Roman" w:cs="Times New Roman"/>
                <w:lang w:val="en"/>
              </w:rPr>
            </w:pPr>
            <w:r w:rsidRPr="00C138DE">
              <w:rPr>
                <w:rFonts w:eastAsia="Times New Roman" w:cs="Times New Roman"/>
                <w:lang w:val="en"/>
              </w:rPr>
              <w:t>Normal</w:t>
            </w:r>
          </w:p>
          <w:p w14:paraId="28400D3E" w14:textId="77777777" w:rsidR="00970DED" w:rsidRPr="00C138DE" w:rsidRDefault="00970DED" w:rsidP="007F3D2D">
            <w:pPr>
              <w:jc w:val="center"/>
              <w:rPr>
                <w:rFonts w:eastAsia="Times New Roman" w:cs="Times New Roman"/>
                <w:lang w:val="en"/>
              </w:rPr>
            </w:pPr>
            <w:r w:rsidRPr="00C138DE">
              <w:rPr>
                <w:rFonts w:eastAsia="Times New Roman" w:cs="Times New Roman"/>
                <w:lang w:val="en"/>
              </w:rPr>
              <w:t>Risk at malnutrition or malnutrition</w:t>
            </w:r>
          </w:p>
        </w:tc>
        <w:tc>
          <w:tcPr>
            <w:tcW w:w="0" w:type="auto"/>
          </w:tcPr>
          <w:p w14:paraId="3C48D592" w14:textId="77777777" w:rsidR="00970DED" w:rsidRPr="00C138DE" w:rsidRDefault="00970DED" w:rsidP="007F3D2D">
            <w:pPr>
              <w:jc w:val="center"/>
              <w:rPr>
                <w:rFonts w:eastAsia="Times New Roman" w:cs="Times New Roman"/>
                <w:lang w:val="en"/>
              </w:rPr>
            </w:pPr>
          </w:p>
          <w:p w14:paraId="513617E8" w14:textId="77777777" w:rsidR="00970DED" w:rsidRPr="00C138DE" w:rsidRDefault="00970DED" w:rsidP="007F3D2D">
            <w:pPr>
              <w:jc w:val="center"/>
              <w:rPr>
                <w:rFonts w:eastAsia="Times New Roman" w:cs="Times New Roman"/>
                <w:lang w:val="en"/>
              </w:rPr>
            </w:pPr>
            <w:r w:rsidRPr="00C138DE">
              <w:rPr>
                <w:rFonts w:eastAsia="Times New Roman" w:cs="Times New Roman"/>
                <w:lang w:val="en"/>
              </w:rPr>
              <w:t>1</w:t>
            </w:r>
          </w:p>
          <w:p w14:paraId="6930A154" w14:textId="6AE8C5A9" w:rsidR="00970DED" w:rsidRPr="00C138DE" w:rsidRDefault="00970DED" w:rsidP="007F3D2D">
            <w:pPr>
              <w:jc w:val="center"/>
              <w:rPr>
                <w:rFonts w:eastAsia="Times New Roman" w:cs="Times New Roman"/>
                <w:lang w:val="en"/>
              </w:rPr>
            </w:pPr>
            <w:r w:rsidRPr="00C138DE">
              <w:rPr>
                <w:rFonts w:eastAsia="Times New Roman" w:cs="Times New Roman"/>
                <w:lang w:val="en"/>
              </w:rPr>
              <w:t>1.32 (95% CI 0.28–6.22)</w:t>
            </w:r>
          </w:p>
        </w:tc>
        <w:tc>
          <w:tcPr>
            <w:tcW w:w="0" w:type="auto"/>
          </w:tcPr>
          <w:p w14:paraId="09A9F440" w14:textId="77777777" w:rsidR="00970DED" w:rsidRPr="00C138DE" w:rsidRDefault="00970DED" w:rsidP="007F3D2D">
            <w:pPr>
              <w:jc w:val="center"/>
              <w:rPr>
                <w:rFonts w:eastAsia="Times New Roman" w:cs="Times New Roman"/>
                <w:lang w:val="en"/>
              </w:rPr>
            </w:pPr>
          </w:p>
          <w:p w14:paraId="580C01D5" w14:textId="77777777" w:rsidR="00970DED" w:rsidRPr="00C138DE" w:rsidRDefault="00970DED" w:rsidP="007F3D2D">
            <w:pPr>
              <w:jc w:val="center"/>
              <w:rPr>
                <w:rFonts w:eastAsia="Times New Roman" w:cs="Times New Roman"/>
                <w:lang w:val="en"/>
              </w:rPr>
            </w:pPr>
            <w:r w:rsidRPr="00C138DE">
              <w:rPr>
                <w:rFonts w:eastAsia="Times New Roman" w:cs="Times New Roman"/>
                <w:lang w:val="en"/>
              </w:rPr>
              <w:t>0.53</w:t>
            </w:r>
          </w:p>
        </w:tc>
      </w:tr>
    </w:tbl>
    <w:p w14:paraId="5D5BC908" w14:textId="77777777" w:rsidR="00970DED" w:rsidRPr="00C138DE" w:rsidRDefault="00970DED" w:rsidP="00970DED">
      <w:pPr>
        <w:ind w:left="284" w:right="288" w:firstLine="720"/>
        <w:jc w:val="both"/>
        <w:rPr>
          <w:rFonts w:eastAsia="Times New Roman" w:cs="Times New Roman"/>
          <w:b/>
          <w:bCs/>
          <w:lang w:val="en"/>
        </w:rPr>
      </w:pPr>
    </w:p>
    <w:p w14:paraId="253C18F1" w14:textId="3742C5B3" w:rsidR="00970DED" w:rsidRPr="00C138DE" w:rsidRDefault="00970DED" w:rsidP="007F3D2D">
      <w:pPr>
        <w:ind w:left="284" w:right="288"/>
        <w:jc w:val="center"/>
        <w:rPr>
          <w:rFonts w:eastAsia="Times New Roman" w:cs="Times New Roman"/>
          <w:b/>
          <w:bCs/>
          <w:lang w:val="en"/>
        </w:rPr>
      </w:pPr>
      <w:r w:rsidRPr="00C138DE">
        <w:rPr>
          <w:rFonts w:eastAsia="Times New Roman" w:cs="Times New Roman"/>
          <w:b/>
          <w:bCs/>
          <w:lang w:val="en"/>
        </w:rPr>
        <w:t xml:space="preserve">Table </w:t>
      </w:r>
      <w:r w:rsidR="00E93CFB" w:rsidRPr="00C138DE">
        <w:rPr>
          <w:rFonts w:eastAsia="Times New Roman" w:cs="Times New Roman"/>
          <w:b/>
          <w:bCs/>
          <w:lang w:val="en"/>
        </w:rPr>
        <w:t>5</w:t>
      </w:r>
      <w:r w:rsidR="007F3D2D" w:rsidRPr="00C138DE">
        <w:rPr>
          <w:rFonts w:eastAsia="Times New Roman" w:cs="Times New Roman"/>
          <w:b/>
          <w:bCs/>
          <w:lang w:val="en"/>
        </w:rPr>
        <w:t>.</w:t>
      </w:r>
      <w:r w:rsidRPr="00C138DE">
        <w:rPr>
          <w:rFonts w:eastAsia="Times New Roman" w:cs="Times New Roman"/>
          <w:b/>
          <w:bCs/>
          <w:lang w:val="en"/>
        </w:rPr>
        <w:t xml:space="preserve"> </w:t>
      </w:r>
      <w:r w:rsidRPr="00C138DE">
        <w:rPr>
          <w:rFonts w:eastAsia="Times New Roman" w:cs="Times New Roman"/>
          <w:lang w:val="en"/>
        </w:rPr>
        <w:t>Multivariate Logistic Regression Result</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470"/>
        <w:gridCol w:w="2847"/>
        <w:gridCol w:w="2265"/>
      </w:tblGrid>
      <w:tr w:rsidR="00970DED" w:rsidRPr="00C138DE" w14:paraId="2D33680E" w14:textId="77777777" w:rsidTr="007F3D2D">
        <w:trPr>
          <w:jc w:val="center"/>
        </w:trPr>
        <w:tc>
          <w:tcPr>
            <w:tcW w:w="0" w:type="auto"/>
          </w:tcPr>
          <w:p w14:paraId="0D9591A6" w14:textId="77777777" w:rsidR="00970DED" w:rsidRPr="00C138DE" w:rsidRDefault="00970DED" w:rsidP="00970DED">
            <w:pPr>
              <w:ind w:left="284" w:right="288" w:firstLine="720"/>
              <w:jc w:val="both"/>
              <w:rPr>
                <w:rFonts w:eastAsia="Times New Roman" w:cs="Times New Roman"/>
                <w:b/>
                <w:bCs/>
                <w:lang w:val="en"/>
              </w:rPr>
            </w:pPr>
            <w:r w:rsidRPr="00C138DE">
              <w:rPr>
                <w:rFonts w:eastAsia="Times New Roman" w:cs="Times New Roman"/>
                <w:b/>
                <w:bCs/>
                <w:lang w:val="en"/>
              </w:rPr>
              <w:t>Variables</w:t>
            </w:r>
          </w:p>
        </w:tc>
        <w:tc>
          <w:tcPr>
            <w:tcW w:w="0" w:type="auto"/>
          </w:tcPr>
          <w:p w14:paraId="3E013458" w14:textId="77777777" w:rsidR="00970DED" w:rsidRPr="00C138DE" w:rsidRDefault="00970DED" w:rsidP="00970DED">
            <w:pPr>
              <w:ind w:left="284" w:right="288" w:firstLine="720"/>
              <w:jc w:val="both"/>
              <w:rPr>
                <w:rFonts w:eastAsia="Times New Roman" w:cs="Times New Roman"/>
                <w:b/>
                <w:bCs/>
                <w:lang w:val="en"/>
              </w:rPr>
            </w:pPr>
            <w:r w:rsidRPr="00C138DE">
              <w:rPr>
                <w:rFonts w:eastAsia="Times New Roman" w:cs="Times New Roman"/>
                <w:b/>
                <w:bCs/>
                <w:lang w:val="en"/>
              </w:rPr>
              <w:t>Adjusted PR</w:t>
            </w:r>
          </w:p>
        </w:tc>
        <w:tc>
          <w:tcPr>
            <w:tcW w:w="0" w:type="auto"/>
          </w:tcPr>
          <w:p w14:paraId="4F41DFCC" w14:textId="77777777" w:rsidR="00970DED" w:rsidRPr="00C138DE" w:rsidRDefault="00970DED" w:rsidP="00970DED">
            <w:pPr>
              <w:ind w:left="284" w:right="288" w:firstLine="720"/>
              <w:jc w:val="both"/>
              <w:rPr>
                <w:rFonts w:eastAsia="Times New Roman" w:cs="Times New Roman"/>
                <w:b/>
                <w:bCs/>
                <w:lang w:val="en"/>
              </w:rPr>
            </w:pPr>
            <w:r w:rsidRPr="00C138DE">
              <w:rPr>
                <w:rFonts w:eastAsia="Times New Roman" w:cs="Times New Roman"/>
                <w:b/>
                <w:bCs/>
                <w:lang w:val="en"/>
              </w:rPr>
              <w:t>P Value</w:t>
            </w:r>
          </w:p>
        </w:tc>
      </w:tr>
      <w:tr w:rsidR="00970DED" w:rsidRPr="00C138DE" w14:paraId="036DADBE" w14:textId="77777777" w:rsidTr="007F3D2D">
        <w:trPr>
          <w:jc w:val="center"/>
        </w:trPr>
        <w:tc>
          <w:tcPr>
            <w:tcW w:w="0" w:type="auto"/>
          </w:tcPr>
          <w:p w14:paraId="282BBDD9" w14:textId="77777777" w:rsidR="00970DED" w:rsidRPr="00C138DE" w:rsidRDefault="00970DED" w:rsidP="00BC6FAF">
            <w:pPr>
              <w:ind w:left="34" w:hanging="34"/>
              <w:jc w:val="center"/>
              <w:rPr>
                <w:rFonts w:eastAsia="Times New Roman" w:cs="Times New Roman"/>
                <w:lang w:val="en"/>
              </w:rPr>
            </w:pPr>
            <w:r w:rsidRPr="00C138DE">
              <w:rPr>
                <w:rFonts w:eastAsia="Times New Roman" w:cs="Times New Roman"/>
                <w:lang w:val="en"/>
              </w:rPr>
              <w:t>Sarcopenia</w:t>
            </w:r>
          </w:p>
          <w:p w14:paraId="311F02BA" w14:textId="77777777" w:rsidR="00970DED" w:rsidRPr="00C138DE" w:rsidRDefault="00970DED" w:rsidP="00BC6FAF">
            <w:pPr>
              <w:ind w:left="34" w:hanging="34"/>
              <w:jc w:val="center"/>
              <w:rPr>
                <w:rFonts w:eastAsia="Times New Roman" w:cs="Times New Roman"/>
                <w:lang w:val="en"/>
              </w:rPr>
            </w:pPr>
            <w:r w:rsidRPr="00C138DE">
              <w:rPr>
                <w:rFonts w:eastAsia="Times New Roman" w:cs="Times New Roman"/>
                <w:lang w:val="en"/>
              </w:rPr>
              <w:t>Normal</w:t>
            </w:r>
          </w:p>
          <w:p w14:paraId="0DB86BB2" w14:textId="77777777" w:rsidR="00970DED" w:rsidRPr="00C138DE" w:rsidRDefault="00970DED" w:rsidP="00BC6FAF">
            <w:pPr>
              <w:ind w:left="34" w:hanging="34"/>
              <w:jc w:val="center"/>
              <w:rPr>
                <w:rFonts w:eastAsia="Times New Roman" w:cs="Times New Roman"/>
                <w:lang w:val="en"/>
              </w:rPr>
            </w:pPr>
            <w:r w:rsidRPr="00C138DE">
              <w:rPr>
                <w:rFonts w:eastAsia="Times New Roman" w:cs="Times New Roman"/>
                <w:lang w:val="en"/>
              </w:rPr>
              <w:t>Sarcopenia</w:t>
            </w:r>
          </w:p>
        </w:tc>
        <w:tc>
          <w:tcPr>
            <w:tcW w:w="0" w:type="auto"/>
          </w:tcPr>
          <w:p w14:paraId="77084222" w14:textId="77777777" w:rsidR="00970DED" w:rsidRPr="00C138DE" w:rsidRDefault="00970DED" w:rsidP="00BC6FAF">
            <w:pPr>
              <w:ind w:left="34" w:hanging="34"/>
              <w:jc w:val="center"/>
              <w:rPr>
                <w:rFonts w:eastAsia="Times New Roman" w:cs="Times New Roman"/>
                <w:lang w:val="en"/>
              </w:rPr>
            </w:pPr>
          </w:p>
          <w:p w14:paraId="12DE1494" w14:textId="77777777" w:rsidR="00970DED" w:rsidRPr="00C138DE" w:rsidRDefault="00970DED" w:rsidP="00BC6FAF">
            <w:pPr>
              <w:ind w:left="34" w:hanging="34"/>
              <w:jc w:val="center"/>
              <w:rPr>
                <w:rFonts w:eastAsia="Times New Roman" w:cs="Times New Roman"/>
                <w:lang w:val="en"/>
              </w:rPr>
            </w:pPr>
            <w:r w:rsidRPr="00C138DE">
              <w:rPr>
                <w:rFonts w:eastAsia="Times New Roman" w:cs="Times New Roman"/>
                <w:lang w:val="en"/>
              </w:rPr>
              <w:t>1</w:t>
            </w:r>
          </w:p>
          <w:p w14:paraId="6CC83FEA" w14:textId="77777777" w:rsidR="00970DED" w:rsidRPr="00C138DE" w:rsidRDefault="00970DED" w:rsidP="00BC6FAF">
            <w:pPr>
              <w:ind w:left="34" w:hanging="34"/>
              <w:jc w:val="center"/>
              <w:rPr>
                <w:rFonts w:eastAsia="Times New Roman" w:cs="Times New Roman"/>
                <w:lang w:val="en"/>
              </w:rPr>
            </w:pPr>
            <w:r w:rsidRPr="00C138DE">
              <w:rPr>
                <w:rFonts w:eastAsia="Times New Roman" w:cs="Times New Roman"/>
                <w:lang w:val="en"/>
              </w:rPr>
              <w:t>6.84 (95% CI 1.55 – 30.19)</w:t>
            </w:r>
          </w:p>
        </w:tc>
        <w:tc>
          <w:tcPr>
            <w:tcW w:w="0" w:type="auto"/>
          </w:tcPr>
          <w:p w14:paraId="5948DF27" w14:textId="77777777" w:rsidR="00970DED" w:rsidRPr="00C138DE" w:rsidRDefault="00970DED" w:rsidP="00BC6FAF">
            <w:pPr>
              <w:ind w:left="34" w:hanging="34"/>
              <w:jc w:val="center"/>
              <w:rPr>
                <w:rFonts w:eastAsia="Times New Roman" w:cs="Times New Roman"/>
                <w:lang w:val="en"/>
              </w:rPr>
            </w:pPr>
          </w:p>
          <w:p w14:paraId="5BA5D1C7" w14:textId="77777777" w:rsidR="00970DED" w:rsidRPr="00C138DE" w:rsidRDefault="00970DED" w:rsidP="00BC6FAF">
            <w:pPr>
              <w:ind w:left="34" w:hanging="34"/>
              <w:jc w:val="center"/>
              <w:rPr>
                <w:rFonts w:eastAsia="Times New Roman" w:cs="Times New Roman"/>
                <w:lang w:val="en"/>
              </w:rPr>
            </w:pPr>
            <w:r w:rsidRPr="00C138DE">
              <w:rPr>
                <w:rFonts w:eastAsia="Times New Roman" w:cs="Times New Roman"/>
                <w:lang w:val="en"/>
              </w:rPr>
              <w:t>0.011</w:t>
            </w:r>
          </w:p>
        </w:tc>
      </w:tr>
      <w:tr w:rsidR="00970DED" w:rsidRPr="00C138DE" w14:paraId="7613694F" w14:textId="77777777" w:rsidTr="007F3D2D">
        <w:trPr>
          <w:jc w:val="center"/>
        </w:trPr>
        <w:tc>
          <w:tcPr>
            <w:tcW w:w="0" w:type="auto"/>
          </w:tcPr>
          <w:p w14:paraId="21AEFB76" w14:textId="77777777" w:rsidR="00970DED" w:rsidRPr="00C138DE" w:rsidRDefault="00970DED" w:rsidP="00BC6FAF">
            <w:pPr>
              <w:ind w:left="34" w:hanging="34"/>
              <w:jc w:val="center"/>
              <w:rPr>
                <w:rFonts w:eastAsia="Times New Roman" w:cs="Times New Roman"/>
                <w:lang w:val="en"/>
              </w:rPr>
            </w:pPr>
            <w:r w:rsidRPr="00C138DE">
              <w:rPr>
                <w:rFonts w:eastAsia="Times New Roman" w:cs="Times New Roman"/>
                <w:lang w:val="en"/>
              </w:rPr>
              <w:t>Age</w:t>
            </w:r>
          </w:p>
          <w:p w14:paraId="50F1A280" w14:textId="77777777" w:rsidR="00970DED" w:rsidRPr="00C138DE" w:rsidRDefault="00970DED" w:rsidP="00BC6FAF">
            <w:pPr>
              <w:ind w:left="34" w:hanging="34"/>
              <w:jc w:val="center"/>
              <w:rPr>
                <w:rFonts w:eastAsia="Times New Roman" w:cs="Times New Roman"/>
                <w:lang w:val="en"/>
              </w:rPr>
            </w:pPr>
            <w:r w:rsidRPr="00C138DE">
              <w:rPr>
                <w:rFonts w:eastAsia="Times New Roman" w:cs="Times New Roman"/>
                <w:lang w:val="en"/>
              </w:rPr>
              <w:lastRenderedPageBreak/>
              <w:t xml:space="preserve">Below 60 </w:t>
            </w:r>
            <w:proofErr w:type="spellStart"/>
            <w:r w:rsidRPr="00C138DE">
              <w:rPr>
                <w:rFonts w:eastAsia="Times New Roman" w:cs="Times New Roman"/>
                <w:lang w:val="en"/>
              </w:rPr>
              <w:t>y.o</w:t>
            </w:r>
            <w:proofErr w:type="spellEnd"/>
          </w:p>
          <w:p w14:paraId="60F3F106" w14:textId="77777777" w:rsidR="00970DED" w:rsidRPr="00C138DE" w:rsidRDefault="00970DED" w:rsidP="00BC6FAF">
            <w:pPr>
              <w:ind w:left="34" w:hanging="34"/>
              <w:jc w:val="center"/>
              <w:rPr>
                <w:rFonts w:eastAsia="Times New Roman" w:cs="Times New Roman"/>
                <w:lang w:val="en"/>
              </w:rPr>
            </w:pPr>
            <w:r w:rsidRPr="00C138DE">
              <w:rPr>
                <w:rFonts w:eastAsia="Times New Roman" w:cs="Times New Roman"/>
                <w:lang w:val="en"/>
              </w:rPr>
              <w:t xml:space="preserve">Above 60 </w:t>
            </w:r>
            <w:proofErr w:type="spellStart"/>
            <w:proofErr w:type="gramStart"/>
            <w:r w:rsidRPr="00C138DE">
              <w:rPr>
                <w:rFonts w:eastAsia="Times New Roman" w:cs="Times New Roman"/>
                <w:lang w:val="en"/>
              </w:rPr>
              <w:t>y.o</w:t>
            </w:r>
            <w:proofErr w:type="spellEnd"/>
            <w:proofErr w:type="gramEnd"/>
          </w:p>
        </w:tc>
        <w:tc>
          <w:tcPr>
            <w:tcW w:w="0" w:type="auto"/>
          </w:tcPr>
          <w:p w14:paraId="09725BEF" w14:textId="77777777" w:rsidR="00970DED" w:rsidRPr="00C138DE" w:rsidRDefault="00970DED" w:rsidP="00BC6FAF">
            <w:pPr>
              <w:ind w:left="34" w:hanging="34"/>
              <w:jc w:val="center"/>
              <w:rPr>
                <w:rFonts w:eastAsia="Times New Roman" w:cs="Times New Roman"/>
                <w:lang w:val="en"/>
              </w:rPr>
            </w:pPr>
          </w:p>
          <w:p w14:paraId="033D90C2" w14:textId="77777777" w:rsidR="00970DED" w:rsidRPr="00C138DE" w:rsidRDefault="00970DED" w:rsidP="00BC6FAF">
            <w:pPr>
              <w:ind w:left="34" w:hanging="34"/>
              <w:jc w:val="center"/>
              <w:rPr>
                <w:rFonts w:eastAsia="Times New Roman" w:cs="Times New Roman"/>
                <w:lang w:val="en"/>
              </w:rPr>
            </w:pPr>
            <w:r w:rsidRPr="00C138DE">
              <w:rPr>
                <w:rFonts w:eastAsia="Times New Roman" w:cs="Times New Roman"/>
                <w:lang w:val="en"/>
              </w:rPr>
              <w:lastRenderedPageBreak/>
              <w:t>1</w:t>
            </w:r>
          </w:p>
          <w:p w14:paraId="6BE7070A" w14:textId="77777777" w:rsidR="00970DED" w:rsidRPr="00C138DE" w:rsidRDefault="00970DED" w:rsidP="00BC6FAF">
            <w:pPr>
              <w:ind w:left="34" w:hanging="34"/>
              <w:jc w:val="center"/>
              <w:rPr>
                <w:rFonts w:eastAsia="Times New Roman" w:cs="Times New Roman"/>
                <w:lang w:val="en"/>
              </w:rPr>
            </w:pPr>
            <w:r w:rsidRPr="00C138DE">
              <w:rPr>
                <w:rFonts w:eastAsia="Times New Roman" w:cs="Times New Roman"/>
                <w:lang w:val="en"/>
              </w:rPr>
              <w:t>3.296 (95% CI 0.66 – 16.43)</w:t>
            </w:r>
          </w:p>
        </w:tc>
        <w:tc>
          <w:tcPr>
            <w:tcW w:w="0" w:type="auto"/>
          </w:tcPr>
          <w:p w14:paraId="1905FD0E" w14:textId="77777777" w:rsidR="00970DED" w:rsidRPr="00C138DE" w:rsidRDefault="00970DED" w:rsidP="00BC6FAF">
            <w:pPr>
              <w:ind w:left="34" w:hanging="34"/>
              <w:jc w:val="center"/>
              <w:rPr>
                <w:rFonts w:eastAsia="Times New Roman" w:cs="Times New Roman"/>
                <w:lang w:val="en"/>
              </w:rPr>
            </w:pPr>
          </w:p>
          <w:p w14:paraId="15C9B437" w14:textId="77777777" w:rsidR="00970DED" w:rsidRPr="00C138DE" w:rsidRDefault="00970DED" w:rsidP="00BC6FAF">
            <w:pPr>
              <w:ind w:left="34" w:hanging="34"/>
              <w:jc w:val="center"/>
              <w:rPr>
                <w:rFonts w:eastAsia="Times New Roman" w:cs="Times New Roman"/>
                <w:lang w:val="en"/>
              </w:rPr>
            </w:pPr>
            <w:r w:rsidRPr="00C138DE">
              <w:rPr>
                <w:rFonts w:eastAsia="Times New Roman" w:cs="Times New Roman"/>
                <w:lang w:val="en"/>
              </w:rPr>
              <w:lastRenderedPageBreak/>
              <w:t>0.146</w:t>
            </w:r>
          </w:p>
        </w:tc>
      </w:tr>
    </w:tbl>
    <w:p w14:paraId="61BBF8E7" w14:textId="77777777" w:rsidR="00970DED" w:rsidRPr="00C138DE" w:rsidRDefault="00970DED" w:rsidP="00970DED">
      <w:pPr>
        <w:ind w:left="284" w:right="288" w:firstLine="720"/>
        <w:jc w:val="both"/>
        <w:rPr>
          <w:rFonts w:eastAsia="Times New Roman" w:cs="Times New Roman"/>
          <w:lang w:val="en"/>
        </w:rPr>
      </w:pPr>
    </w:p>
    <w:p w14:paraId="0348A3D8" w14:textId="77777777" w:rsidR="00970DED" w:rsidRPr="00C138DE" w:rsidRDefault="00970DED" w:rsidP="00BC6FAF">
      <w:pPr>
        <w:ind w:left="284" w:right="288"/>
        <w:jc w:val="both"/>
        <w:rPr>
          <w:rFonts w:eastAsia="Times New Roman" w:cs="Times New Roman"/>
          <w:b/>
          <w:bCs/>
          <w:lang w:val="en"/>
        </w:rPr>
      </w:pPr>
      <w:r w:rsidRPr="00C138DE">
        <w:rPr>
          <w:rFonts w:eastAsia="Times New Roman" w:cs="Times New Roman"/>
          <w:b/>
          <w:bCs/>
          <w:lang w:val="en"/>
        </w:rPr>
        <w:t>Discussion</w:t>
      </w:r>
    </w:p>
    <w:p w14:paraId="65003636" w14:textId="59EF7AB6" w:rsidR="00E24B88" w:rsidRPr="00C138DE" w:rsidRDefault="00E24B88" w:rsidP="00E24B88">
      <w:pPr>
        <w:ind w:left="284" w:right="288" w:firstLine="720"/>
        <w:jc w:val="both"/>
        <w:rPr>
          <w:rFonts w:eastAsia="Times New Roman" w:cs="Times New Roman"/>
          <w:lang w:val="id-ID"/>
        </w:rPr>
      </w:pPr>
      <w:r w:rsidRPr="00C138DE">
        <w:rPr>
          <w:rFonts w:eastAsia="Times New Roman" w:cs="Times New Roman"/>
          <w:lang w:val="id-ID"/>
        </w:rPr>
        <w:t xml:space="preserve">The </w:t>
      </w:r>
      <w:proofErr w:type="spellStart"/>
      <w:r w:rsidRPr="00C138DE">
        <w:rPr>
          <w:rFonts w:eastAsia="Times New Roman" w:cs="Times New Roman"/>
          <w:lang w:val="id-ID"/>
        </w:rPr>
        <w:t>principal</w:t>
      </w:r>
      <w:proofErr w:type="spellEnd"/>
      <w:r w:rsidRPr="00C138DE">
        <w:rPr>
          <w:rFonts w:eastAsia="Times New Roman" w:cs="Times New Roman"/>
          <w:lang w:val="id-ID"/>
        </w:rPr>
        <w:t xml:space="preserve"> </w:t>
      </w:r>
      <w:proofErr w:type="spellStart"/>
      <w:r w:rsidRPr="00C138DE">
        <w:rPr>
          <w:rFonts w:eastAsia="Times New Roman" w:cs="Times New Roman"/>
          <w:lang w:val="id-ID"/>
        </w:rPr>
        <w:t>finding</w:t>
      </w:r>
      <w:proofErr w:type="spellEnd"/>
      <w:r w:rsidRPr="00C138DE">
        <w:rPr>
          <w:rFonts w:eastAsia="Times New Roman" w:cs="Times New Roman"/>
          <w:lang w:val="id-ID"/>
        </w:rPr>
        <w:t xml:space="preserve"> </w:t>
      </w:r>
      <w:proofErr w:type="spellStart"/>
      <w:r w:rsidRPr="00C138DE">
        <w:rPr>
          <w:rFonts w:eastAsia="Times New Roman" w:cs="Times New Roman"/>
          <w:lang w:val="id-ID"/>
        </w:rPr>
        <w:t>of</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this</w:t>
      </w:r>
      <w:proofErr w:type="spellEnd"/>
      <w:r w:rsidRPr="00C138DE">
        <w:rPr>
          <w:rFonts w:eastAsia="Times New Roman" w:cs="Times New Roman"/>
          <w:lang w:val="id-ID"/>
        </w:rPr>
        <w:t xml:space="preserve"> </w:t>
      </w:r>
      <w:proofErr w:type="spellStart"/>
      <w:r w:rsidRPr="00C138DE">
        <w:rPr>
          <w:rFonts w:eastAsia="Times New Roman" w:cs="Times New Roman"/>
          <w:lang w:val="id-ID"/>
        </w:rPr>
        <w:t>analysis</w:t>
      </w:r>
      <w:proofErr w:type="spellEnd"/>
      <w:r w:rsidRPr="00C138DE">
        <w:rPr>
          <w:rFonts w:eastAsia="Times New Roman" w:cs="Times New Roman"/>
          <w:lang w:val="id-ID"/>
        </w:rPr>
        <w:t xml:space="preserve"> </w:t>
      </w:r>
      <w:proofErr w:type="spellStart"/>
      <w:r w:rsidRPr="00C138DE">
        <w:rPr>
          <w:rFonts w:eastAsia="Times New Roman" w:cs="Times New Roman"/>
          <w:lang w:val="id-ID"/>
        </w:rPr>
        <w:t>is</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identification</w:t>
      </w:r>
      <w:proofErr w:type="spellEnd"/>
      <w:r w:rsidRPr="00C138DE">
        <w:rPr>
          <w:rFonts w:eastAsia="Times New Roman" w:cs="Times New Roman"/>
          <w:lang w:val="id-ID"/>
        </w:rPr>
        <w:t xml:space="preserve"> </w:t>
      </w:r>
      <w:proofErr w:type="spellStart"/>
      <w:r w:rsidRPr="00C138DE">
        <w:rPr>
          <w:rFonts w:eastAsia="Times New Roman" w:cs="Times New Roman"/>
          <w:lang w:val="id-ID"/>
        </w:rPr>
        <w:t>of</w:t>
      </w:r>
      <w:proofErr w:type="spellEnd"/>
      <w:r w:rsidRPr="00C138DE">
        <w:rPr>
          <w:rFonts w:eastAsia="Times New Roman" w:cs="Times New Roman"/>
          <w:lang w:val="id-ID"/>
        </w:rPr>
        <w:t xml:space="preserve"> </w:t>
      </w:r>
      <w:proofErr w:type="spellStart"/>
      <w:r w:rsidRPr="00C138DE">
        <w:rPr>
          <w:rFonts w:eastAsia="Times New Roman" w:cs="Times New Roman"/>
          <w:lang w:val="id-ID"/>
        </w:rPr>
        <w:t>sarcopenia</w:t>
      </w:r>
      <w:proofErr w:type="spellEnd"/>
      <w:r w:rsidRPr="00C138DE">
        <w:rPr>
          <w:rFonts w:eastAsia="Times New Roman" w:cs="Times New Roman"/>
          <w:lang w:val="id-ID"/>
        </w:rPr>
        <w:t xml:space="preserve"> as </w:t>
      </w:r>
      <w:proofErr w:type="spellStart"/>
      <w:r w:rsidRPr="00C138DE">
        <w:rPr>
          <w:rFonts w:eastAsia="Times New Roman" w:cs="Times New Roman"/>
          <w:lang w:val="id-ID"/>
        </w:rPr>
        <w:t>an</w:t>
      </w:r>
      <w:proofErr w:type="spellEnd"/>
      <w:r w:rsidRPr="00C138DE">
        <w:rPr>
          <w:rFonts w:eastAsia="Times New Roman" w:cs="Times New Roman"/>
          <w:lang w:val="id-ID"/>
        </w:rPr>
        <w:t xml:space="preserve"> </w:t>
      </w:r>
      <w:proofErr w:type="spellStart"/>
      <w:r w:rsidRPr="00C138DE">
        <w:rPr>
          <w:rFonts w:eastAsia="Times New Roman" w:cs="Times New Roman"/>
          <w:lang w:val="id-ID"/>
        </w:rPr>
        <w:t>independent</w:t>
      </w:r>
      <w:proofErr w:type="spellEnd"/>
      <w:r w:rsidRPr="00C138DE">
        <w:rPr>
          <w:rFonts w:eastAsia="Times New Roman" w:cs="Times New Roman"/>
          <w:lang w:val="id-ID"/>
        </w:rPr>
        <w:t xml:space="preserve">, </w:t>
      </w:r>
      <w:proofErr w:type="spellStart"/>
      <w:r w:rsidRPr="00C138DE">
        <w:rPr>
          <w:rFonts w:eastAsia="Times New Roman" w:cs="Times New Roman"/>
          <w:lang w:val="id-ID"/>
        </w:rPr>
        <w:t>high-magnitude</w:t>
      </w:r>
      <w:proofErr w:type="spellEnd"/>
      <w:r w:rsidRPr="00C138DE">
        <w:rPr>
          <w:rFonts w:eastAsia="Times New Roman" w:cs="Times New Roman"/>
          <w:lang w:val="id-ID"/>
        </w:rPr>
        <w:t xml:space="preserve"> </w:t>
      </w:r>
      <w:proofErr w:type="spellStart"/>
      <w:r w:rsidRPr="00C138DE">
        <w:rPr>
          <w:rFonts w:eastAsia="Times New Roman" w:cs="Times New Roman"/>
          <w:lang w:val="id-ID"/>
        </w:rPr>
        <w:t>correlate</w:t>
      </w:r>
      <w:proofErr w:type="spellEnd"/>
      <w:r w:rsidRPr="00C138DE">
        <w:rPr>
          <w:rFonts w:eastAsia="Times New Roman" w:cs="Times New Roman"/>
          <w:lang w:val="id-ID"/>
        </w:rPr>
        <w:t xml:space="preserve"> </w:t>
      </w:r>
      <w:proofErr w:type="spellStart"/>
      <w:r w:rsidRPr="00C138DE">
        <w:rPr>
          <w:rFonts w:eastAsia="Times New Roman" w:cs="Times New Roman"/>
          <w:lang w:val="id-ID"/>
        </w:rPr>
        <w:t>of</w:t>
      </w:r>
      <w:proofErr w:type="spellEnd"/>
      <w:r w:rsidRPr="00C138DE">
        <w:rPr>
          <w:rFonts w:eastAsia="Times New Roman" w:cs="Times New Roman"/>
          <w:lang w:val="id-ID"/>
        </w:rPr>
        <w:t xml:space="preserve"> </w:t>
      </w:r>
      <w:proofErr w:type="spellStart"/>
      <w:r w:rsidRPr="00C138DE">
        <w:rPr>
          <w:rFonts w:eastAsia="Times New Roman" w:cs="Times New Roman"/>
          <w:lang w:val="id-ID"/>
        </w:rPr>
        <w:t>cognitive</w:t>
      </w:r>
      <w:proofErr w:type="spellEnd"/>
      <w:r w:rsidRPr="00C138DE">
        <w:rPr>
          <w:rFonts w:eastAsia="Times New Roman" w:cs="Times New Roman"/>
          <w:lang w:val="id-ID"/>
        </w:rPr>
        <w:t xml:space="preserve"> </w:t>
      </w:r>
      <w:proofErr w:type="spellStart"/>
      <w:r w:rsidRPr="00C138DE">
        <w:rPr>
          <w:rFonts w:eastAsia="Times New Roman" w:cs="Times New Roman"/>
          <w:lang w:val="id-ID"/>
        </w:rPr>
        <w:t>frailty</w:t>
      </w:r>
      <w:proofErr w:type="spellEnd"/>
      <w:r w:rsidRPr="00C138DE">
        <w:rPr>
          <w:rFonts w:eastAsia="Times New Roman" w:cs="Times New Roman"/>
          <w:lang w:val="id-ID"/>
        </w:rPr>
        <w:t xml:space="preserve"> (CF) </w:t>
      </w:r>
      <w:proofErr w:type="spellStart"/>
      <w:r w:rsidRPr="00C138DE">
        <w:rPr>
          <w:rFonts w:eastAsia="Times New Roman" w:cs="Times New Roman"/>
          <w:lang w:val="id-ID"/>
        </w:rPr>
        <w:t>among</w:t>
      </w:r>
      <w:proofErr w:type="spellEnd"/>
      <w:r w:rsidRPr="00C138DE">
        <w:rPr>
          <w:rFonts w:eastAsia="Times New Roman" w:cs="Times New Roman"/>
          <w:lang w:val="id-ID"/>
        </w:rPr>
        <w:t xml:space="preserve"> </w:t>
      </w:r>
      <w:proofErr w:type="spellStart"/>
      <w:r w:rsidRPr="00C138DE">
        <w:rPr>
          <w:rFonts w:eastAsia="Times New Roman" w:cs="Times New Roman"/>
          <w:lang w:val="id-ID"/>
        </w:rPr>
        <w:t>adults</w:t>
      </w:r>
      <w:proofErr w:type="spellEnd"/>
      <w:r w:rsidRPr="00C138DE">
        <w:rPr>
          <w:rFonts w:eastAsia="Times New Roman" w:cs="Times New Roman"/>
          <w:lang w:val="id-ID"/>
        </w:rPr>
        <w:t xml:space="preserve"> </w:t>
      </w:r>
      <w:proofErr w:type="spellStart"/>
      <w:r w:rsidRPr="00C138DE">
        <w:rPr>
          <w:rFonts w:eastAsia="Times New Roman" w:cs="Times New Roman"/>
          <w:lang w:val="id-ID"/>
        </w:rPr>
        <w:t>living</w:t>
      </w:r>
      <w:proofErr w:type="spellEnd"/>
      <w:r w:rsidRPr="00C138DE">
        <w:rPr>
          <w:rFonts w:eastAsia="Times New Roman" w:cs="Times New Roman"/>
          <w:lang w:val="id-ID"/>
        </w:rPr>
        <w:t xml:space="preserve"> </w:t>
      </w:r>
      <w:proofErr w:type="spellStart"/>
      <w:r w:rsidRPr="00C138DE">
        <w:rPr>
          <w:rFonts w:eastAsia="Times New Roman" w:cs="Times New Roman"/>
          <w:lang w:val="id-ID"/>
        </w:rPr>
        <w:t>with</w:t>
      </w:r>
      <w:proofErr w:type="spellEnd"/>
      <w:r w:rsidRPr="00C138DE">
        <w:rPr>
          <w:rFonts w:eastAsia="Times New Roman" w:cs="Times New Roman"/>
          <w:lang w:val="id-ID"/>
        </w:rPr>
        <w:t xml:space="preserve"> diabetes. </w:t>
      </w:r>
      <w:proofErr w:type="spellStart"/>
      <w:r w:rsidRPr="00C138DE">
        <w:rPr>
          <w:rFonts w:eastAsia="Times New Roman" w:cs="Times New Roman"/>
          <w:lang w:val="id-ID"/>
        </w:rPr>
        <w:t>With</w:t>
      </w:r>
      <w:proofErr w:type="spellEnd"/>
      <w:r w:rsidRPr="00C138DE">
        <w:rPr>
          <w:rFonts w:eastAsia="Times New Roman" w:cs="Times New Roman"/>
          <w:lang w:val="id-ID"/>
        </w:rPr>
        <w:t xml:space="preserve"> </w:t>
      </w:r>
      <w:proofErr w:type="spellStart"/>
      <w:r w:rsidRPr="00C138DE">
        <w:rPr>
          <w:rFonts w:eastAsia="Times New Roman" w:cs="Times New Roman"/>
          <w:lang w:val="id-ID"/>
        </w:rPr>
        <w:t>age</w:t>
      </w:r>
      <w:proofErr w:type="spellEnd"/>
      <w:r w:rsidRPr="00C138DE">
        <w:rPr>
          <w:rFonts w:eastAsia="Times New Roman" w:cs="Times New Roman"/>
          <w:lang w:val="id-ID"/>
        </w:rPr>
        <w:t xml:space="preserve"> </w:t>
      </w:r>
      <w:proofErr w:type="spellStart"/>
      <w:r w:rsidRPr="00C138DE">
        <w:rPr>
          <w:rFonts w:eastAsia="Times New Roman" w:cs="Times New Roman"/>
          <w:lang w:val="id-ID"/>
        </w:rPr>
        <w:t>held</w:t>
      </w:r>
      <w:proofErr w:type="spellEnd"/>
      <w:r w:rsidRPr="00C138DE">
        <w:rPr>
          <w:rFonts w:eastAsia="Times New Roman" w:cs="Times New Roman"/>
          <w:lang w:val="id-ID"/>
        </w:rPr>
        <w:t xml:space="preserve"> </w:t>
      </w:r>
      <w:proofErr w:type="spellStart"/>
      <w:r w:rsidRPr="00C138DE">
        <w:rPr>
          <w:rFonts w:eastAsia="Times New Roman" w:cs="Times New Roman"/>
          <w:lang w:val="id-ID"/>
        </w:rPr>
        <w:t>constant</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likelihood</w:t>
      </w:r>
      <w:proofErr w:type="spellEnd"/>
      <w:r w:rsidRPr="00C138DE">
        <w:rPr>
          <w:rFonts w:eastAsia="Times New Roman" w:cs="Times New Roman"/>
          <w:lang w:val="id-ID"/>
        </w:rPr>
        <w:t xml:space="preserve"> </w:t>
      </w:r>
      <w:proofErr w:type="spellStart"/>
      <w:r w:rsidRPr="00C138DE">
        <w:rPr>
          <w:rFonts w:eastAsia="Times New Roman" w:cs="Times New Roman"/>
          <w:lang w:val="id-ID"/>
        </w:rPr>
        <w:t>of</w:t>
      </w:r>
      <w:proofErr w:type="spellEnd"/>
      <w:r w:rsidRPr="00C138DE">
        <w:rPr>
          <w:rFonts w:eastAsia="Times New Roman" w:cs="Times New Roman"/>
          <w:lang w:val="id-ID"/>
        </w:rPr>
        <w:t xml:space="preserve"> CF </w:t>
      </w:r>
      <w:proofErr w:type="spellStart"/>
      <w:r w:rsidRPr="00C138DE">
        <w:rPr>
          <w:rFonts w:eastAsia="Times New Roman" w:cs="Times New Roman"/>
          <w:lang w:val="id-ID"/>
        </w:rPr>
        <w:t>was</w:t>
      </w:r>
      <w:proofErr w:type="spellEnd"/>
      <w:r w:rsidRPr="00C138DE">
        <w:rPr>
          <w:rFonts w:eastAsia="Times New Roman" w:cs="Times New Roman"/>
          <w:lang w:val="id-ID"/>
        </w:rPr>
        <w:t xml:space="preserve"> </w:t>
      </w:r>
      <w:proofErr w:type="spellStart"/>
      <w:r w:rsidRPr="00C138DE">
        <w:rPr>
          <w:rFonts w:eastAsia="Times New Roman" w:cs="Times New Roman"/>
          <w:lang w:val="id-ID"/>
        </w:rPr>
        <w:t>approximately</w:t>
      </w:r>
      <w:proofErr w:type="spellEnd"/>
      <w:r w:rsidRPr="00C138DE">
        <w:rPr>
          <w:rFonts w:eastAsia="Times New Roman" w:cs="Times New Roman"/>
          <w:lang w:val="id-ID"/>
        </w:rPr>
        <w:t xml:space="preserve"> </w:t>
      </w:r>
      <w:proofErr w:type="spellStart"/>
      <w:r w:rsidRPr="00C138DE">
        <w:rPr>
          <w:rFonts w:eastAsia="Times New Roman" w:cs="Times New Roman"/>
          <w:lang w:val="id-ID"/>
        </w:rPr>
        <w:t>sevenfold</w:t>
      </w:r>
      <w:proofErr w:type="spellEnd"/>
      <w:r w:rsidRPr="00C138DE">
        <w:rPr>
          <w:rFonts w:eastAsia="Times New Roman" w:cs="Times New Roman"/>
          <w:lang w:val="id-ID"/>
        </w:rPr>
        <w:t xml:space="preserve"> </w:t>
      </w:r>
      <w:proofErr w:type="spellStart"/>
      <w:r w:rsidRPr="00C138DE">
        <w:rPr>
          <w:rFonts w:eastAsia="Times New Roman" w:cs="Times New Roman"/>
          <w:lang w:val="id-ID"/>
        </w:rPr>
        <w:t>higher</w:t>
      </w:r>
      <w:proofErr w:type="spellEnd"/>
      <w:r w:rsidRPr="00C138DE">
        <w:rPr>
          <w:rFonts w:eastAsia="Times New Roman" w:cs="Times New Roman"/>
          <w:lang w:val="id-ID"/>
        </w:rPr>
        <w:t xml:space="preserve"> in </w:t>
      </w:r>
      <w:proofErr w:type="spellStart"/>
      <w:r w:rsidRPr="00C138DE">
        <w:rPr>
          <w:rFonts w:eastAsia="Times New Roman" w:cs="Times New Roman"/>
          <w:lang w:val="id-ID"/>
        </w:rPr>
        <w:t>sarcopenic</w:t>
      </w:r>
      <w:proofErr w:type="spellEnd"/>
      <w:r w:rsidRPr="00C138DE">
        <w:rPr>
          <w:rFonts w:eastAsia="Times New Roman" w:cs="Times New Roman"/>
          <w:lang w:val="id-ID"/>
        </w:rPr>
        <w:t xml:space="preserve"> versus non-</w:t>
      </w:r>
      <w:proofErr w:type="spellStart"/>
      <w:r w:rsidRPr="00C138DE">
        <w:rPr>
          <w:rFonts w:eastAsia="Times New Roman" w:cs="Times New Roman"/>
          <w:lang w:val="id-ID"/>
        </w:rPr>
        <w:t>sarcopenic</w:t>
      </w:r>
      <w:proofErr w:type="spellEnd"/>
      <w:r w:rsidRPr="00C138DE">
        <w:rPr>
          <w:rFonts w:eastAsia="Times New Roman" w:cs="Times New Roman"/>
          <w:lang w:val="id-ID"/>
        </w:rPr>
        <w:t xml:space="preserve"> </w:t>
      </w:r>
      <w:proofErr w:type="spellStart"/>
      <w:r w:rsidRPr="00C138DE">
        <w:rPr>
          <w:rFonts w:eastAsia="Times New Roman" w:cs="Times New Roman"/>
          <w:lang w:val="id-ID"/>
        </w:rPr>
        <w:t>individuals</w:t>
      </w:r>
      <w:proofErr w:type="spellEnd"/>
      <w:r w:rsidRPr="00C138DE">
        <w:rPr>
          <w:rFonts w:eastAsia="Times New Roman" w:cs="Times New Roman"/>
          <w:lang w:val="id-ID"/>
        </w:rPr>
        <w:t xml:space="preserve"> (</w:t>
      </w:r>
      <w:proofErr w:type="spellStart"/>
      <w:r w:rsidRPr="00C138DE">
        <w:rPr>
          <w:rFonts w:eastAsia="Times New Roman" w:cs="Times New Roman"/>
          <w:lang w:val="id-ID"/>
        </w:rPr>
        <w:t>adjusted</w:t>
      </w:r>
      <w:proofErr w:type="spellEnd"/>
      <w:r w:rsidRPr="00C138DE">
        <w:rPr>
          <w:rFonts w:eastAsia="Times New Roman" w:cs="Times New Roman"/>
          <w:lang w:val="id-ID"/>
        </w:rPr>
        <w:t xml:space="preserve"> </w:t>
      </w:r>
      <w:proofErr w:type="spellStart"/>
      <w:r w:rsidRPr="00C138DE">
        <w:rPr>
          <w:rFonts w:eastAsia="Times New Roman" w:cs="Times New Roman"/>
          <w:lang w:val="id-ID"/>
        </w:rPr>
        <w:t>prevalence</w:t>
      </w:r>
      <w:proofErr w:type="spellEnd"/>
      <w:r w:rsidRPr="00C138DE">
        <w:rPr>
          <w:rFonts w:eastAsia="Times New Roman" w:cs="Times New Roman"/>
          <w:lang w:val="id-ID"/>
        </w:rPr>
        <w:t xml:space="preserve"> </w:t>
      </w:r>
      <w:proofErr w:type="spellStart"/>
      <w:r w:rsidRPr="00C138DE">
        <w:rPr>
          <w:rFonts w:eastAsia="Times New Roman" w:cs="Times New Roman"/>
          <w:lang w:val="id-ID"/>
        </w:rPr>
        <w:t>ratio</w:t>
      </w:r>
      <w:proofErr w:type="spellEnd"/>
      <w:r w:rsidRPr="00C138DE">
        <w:rPr>
          <w:rFonts w:eastAsia="Times New Roman" w:cs="Times New Roman"/>
          <w:lang w:val="id-ID"/>
        </w:rPr>
        <w:t xml:space="preserve"> [PR] 6.84; 95% CI 1.55–30.19), </w:t>
      </w:r>
      <w:proofErr w:type="spellStart"/>
      <w:r w:rsidRPr="00C138DE">
        <w:rPr>
          <w:rFonts w:eastAsia="Times New Roman" w:cs="Times New Roman"/>
          <w:lang w:val="id-ID"/>
        </w:rPr>
        <w:t>an</w:t>
      </w:r>
      <w:proofErr w:type="spellEnd"/>
      <w:r w:rsidRPr="00C138DE">
        <w:rPr>
          <w:rFonts w:eastAsia="Times New Roman" w:cs="Times New Roman"/>
          <w:lang w:val="id-ID"/>
        </w:rPr>
        <w:t xml:space="preserve"> </w:t>
      </w:r>
      <w:proofErr w:type="spellStart"/>
      <w:r w:rsidRPr="00C138DE">
        <w:rPr>
          <w:rFonts w:eastAsia="Times New Roman" w:cs="Times New Roman"/>
          <w:lang w:val="id-ID"/>
        </w:rPr>
        <w:t>observation</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that</w:t>
      </w:r>
      <w:proofErr w:type="spellEnd"/>
      <w:r w:rsidRPr="00C138DE">
        <w:rPr>
          <w:rFonts w:eastAsia="Times New Roman" w:cs="Times New Roman"/>
          <w:lang w:val="id-ID"/>
        </w:rPr>
        <w:t xml:space="preserve"> </w:t>
      </w:r>
      <w:proofErr w:type="spellStart"/>
      <w:r w:rsidRPr="00C138DE">
        <w:rPr>
          <w:rFonts w:eastAsia="Times New Roman" w:cs="Times New Roman"/>
          <w:lang w:val="id-ID"/>
        </w:rPr>
        <w:t>foregrounds</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centrality</w:t>
      </w:r>
      <w:proofErr w:type="spellEnd"/>
      <w:r w:rsidRPr="00C138DE">
        <w:rPr>
          <w:rFonts w:eastAsia="Times New Roman" w:cs="Times New Roman"/>
          <w:lang w:val="id-ID"/>
        </w:rPr>
        <w:t xml:space="preserve"> </w:t>
      </w:r>
      <w:proofErr w:type="spellStart"/>
      <w:r w:rsidRPr="00C138DE">
        <w:rPr>
          <w:rFonts w:eastAsia="Times New Roman" w:cs="Times New Roman"/>
          <w:lang w:val="id-ID"/>
        </w:rPr>
        <w:t>of</w:t>
      </w:r>
      <w:proofErr w:type="spellEnd"/>
      <w:r w:rsidRPr="00C138DE">
        <w:rPr>
          <w:rFonts w:eastAsia="Times New Roman" w:cs="Times New Roman"/>
          <w:lang w:val="id-ID"/>
        </w:rPr>
        <w:t xml:space="preserve"> </w:t>
      </w:r>
      <w:proofErr w:type="spellStart"/>
      <w:r w:rsidRPr="00C138DE">
        <w:rPr>
          <w:rFonts w:eastAsia="Times New Roman" w:cs="Times New Roman"/>
          <w:lang w:val="id-ID"/>
        </w:rPr>
        <w:t>skeletal</w:t>
      </w:r>
      <w:proofErr w:type="spellEnd"/>
      <w:r w:rsidRPr="00C138DE">
        <w:rPr>
          <w:rFonts w:eastAsia="Times New Roman" w:cs="Times New Roman"/>
          <w:lang w:val="id-ID"/>
        </w:rPr>
        <w:t xml:space="preserve"> </w:t>
      </w:r>
      <w:proofErr w:type="spellStart"/>
      <w:r w:rsidRPr="00C138DE">
        <w:rPr>
          <w:rFonts w:eastAsia="Times New Roman" w:cs="Times New Roman"/>
          <w:lang w:val="id-ID"/>
        </w:rPr>
        <w:t>muscle</w:t>
      </w:r>
      <w:proofErr w:type="spellEnd"/>
      <w:r w:rsidRPr="00C138DE">
        <w:rPr>
          <w:rFonts w:eastAsia="Times New Roman" w:cs="Times New Roman"/>
          <w:lang w:val="id-ID"/>
        </w:rPr>
        <w:t xml:space="preserve"> </w:t>
      </w:r>
      <w:proofErr w:type="spellStart"/>
      <w:r w:rsidRPr="00C138DE">
        <w:rPr>
          <w:rFonts w:eastAsia="Times New Roman" w:cs="Times New Roman"/>
          <w:lang w:val="id-ID"/>
        </w:rPr>
        <w:t>health</w:t>
      </w:r>
      <w:proofErr w:type="spellEnd"/>
      <w:r w:rsidRPr="00C138DE">
        <w:rPr>
          <w:rFonts w:eastAsia="Times New Roman" w:cs="Times New Roman"/>
          <w:lang w:val="id-ID"/>
        </w:rPr>
        <w:t xml:space="preserve"> </w:t>
      </w:r>
      <w:proofErr w:type="spellStart"/>
      <w:r w:rsidRPr="00C138DE">
        <w:rPr>
          <w:rFonts w:eastAsia="Times New Roman" w:cs="Times New Roman"/>
          <w:lang w:val="id-ID"/>
        </w:rPr>
        <w:t>for</w:t>
      </w:r>
      <w:proofErr w:type="spellEnd"/>
      <w:r w:rsidRPr="00C138DE">
        <w:rPr>
          <w:rFonts w:eastAsia="Times New Roman" w:cs="Times New Roman"/>
          <w:lang w:val="id-ID"/>
        </w:rPr>
        <w:t xml:space="preserve"> </w:t>
      </w:r>
      <w:proofErr w:type="spellStart"/>
      <w:r w:rsidRPr="00C138DE">
        <w:rPr>
          <w:rFonts w:eastAsia="Times New Roman" w:cs="Times New Roman"/>
          <w:lang w:val="id-ID"/>
        </w:rPr>
        <w:t>cognitive</w:t>
      </w:r>
      <w:proofErr w:type="spellEnd"/>
      <w:r w:rsidRPr="00C138DE">
        <w:rPr>
          <w:rFonts w:eastAsia="Times New Roman" w:cs="Times New Roman"/>
          <w:lang w:val="id-ID"/>
        </w:rPr>
        <w:t xml:space="preserve"> </w:t>
      </w:r>
      <w:proofErr w:type="spellStart"/>
      <w:r w:rsidRPr="00C138DE">
        <w:rPr>
          <w:rFonts w:eastAsia="Times New Roman" w:cs="Times New Roman"/>
          <w:lang w:val="id-ID"/>
        </w:rPr>
        <w:t>resilience</w:t>
      </w:r>
      <w:proofErr w:type="spellEnd"/>
      <w:r w:rsidRPr="00C138DE">
        <w:rPr>
          <w:rFonts w:eastAsia="Times New Roman" w:cs="Times New Roman"/>
          <w:lang w:val="id-ID"/>
        </w:rPr>
        <w:t xml:space="preserve"> in </w:t>
      </w:r>
      <w:proofErr w:type="spellStart"/>
      <w:r w:rsidRPr="00C138DE">
        <w:rPr>
          <w:rFonts w:eastAsia="Times New Roman" w:cs="Times New Roman"/>
          <w:lang w:val="id-ID"/>
        </w:rPr>
        <w:t>this</w:t>
      </w:r>
      <w:proofErr w:type="spellEnd"/>
      <w:r w:rsidRPr="00C138DE">
        <w:rPr>
          <w:rFonts w:eastAsia="Times New Roman" w:cs="Times New Roman"/>
          <w:lang w:val="id-ID"/>
        </w:rPr>
        <w:t xml:space="preserve"> </w:t>
      </w:r>
      <w:proofErr w:type="spellStart"/>
      <w:r w:rsidRPr="00C138DE">
        <w:rPr>
          <w:rFonts w:eastAsia="Times New Roman" w:cs="Times New Roman"/>
          <w:lang w:val="id-ID"/>
        </w:rPr>
        <w:t>clinical</w:t>
      </w:r>
      <w:proofErr w:type="spellEnd"/>
      <w:r w:rsidRPr="00C138DE">
        <w:rPr>
          <w:rFonts w:eastAsia="Times New Roman" w:cs="Times New Roman"/>
          <w:lang w:val="id-ID"/>
        </w:rPr>
        <w:t xml:space="preserve"> </w:t>
      </w:r>
      <w:proofErr w:type="spellStart"/>
      <w:r w:rsidRPr="00C138DE">
        <w:rPr>
          <w:rFonts w:eastAsia="Times New Roman" w:cs="Times New Roman"/>
          <w:lang w:val="id-ID"/>
        </w:rPr>
        <w:t>population</w:t>
      </w:r>
      <w:proofErr w:type="spellEnd"/>
      <w:r w:rsidRPr="00C138DE">
        <w:rPr>
          <w:rFonts w:eastAsia="Times New Roman" w:cs="Times New Roman"/>
          <w:lang w:val="id-ID"/>
        </w:rPr>
        <w:t xml:space="preserve">. </w:t>
      </w:r>
      <w:proofErr w:type="spellStart"/>
      <w:r w:rsidRPr="00C138DE">
        <w:rPr>
          <w:rFonts w:eastAsia="Times New Roman" w:cs="Times New Roman"/>
          <w:lang w:val="id-ID"/>
        </w:rPr>
        <w:t>Notably</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this</w:t>
      </w:r>
      <w:proofErr w:type="spellEnd"/>
      <w:r w:rsidRPr="00C138DE">
        <w:rPr>
          <w:rFonts w:eastAsia="Times New Roman" w:cs="Times New Roman"/>
          <w:lang w:val="id-ID"/>
        </w:rPr>
        <w:t xml:space="preserve"> </w:t>
      </w:r>
      <w:proofErr w:type="spellStart"/>
      <w:r w:rsidRPr="00C138DE">
        <w:rPr>
          <w:rFonts w:eastAsia="Times New Roman" w:cs="Times New Roman"/>
          <w:lang w:val="id-ID"/>
        </w:rPr>
        <w:t>association</w:t>
      </w:r>
      <w:proofErr w:type="spellEnd"/>
      <w:r w:rsidRPr="00C138DE">
        <w:rPr>
          <w:rFonts w:eastAsia="Times New Roman" w:cs="Times New Roman"/>
          <w:lang w:val="id-ID"/>
        </w:rPr>
        <w:t xml:space="preserve"> </w:t>
      </w:r>
      <w:proofErr w:type="spellStart"/>
      <w:r w:rsidRPr="00C138DE">
        <w:rPr>
          <w:rFonts w:eastAsia="Times New Roman" w:cs="Times New Roman"/>
          <w:lang w:val="id-ID"/>
        </w:rPr>
        <w:t>was</w:t>
      </w:r>
      <w:proofErr w:type="spellEnd"/>
      <w:r w:rsidRPr="00C138DE">
        <w:rPr>
          <w:rFonts w:eastAsia="Times New Roman" w:cs="Times New Roman"/>
          <w:lang w:val="id-ID"/>
        </w:rPr>
        <w:t xml:space="preserve"> not </w:t>
      </w:r>
      <w:proofErr w:type="spellStart"/>
      <w:r w:rsidRPr="00C138DE">
        <w:rPr>
          <w:rFonts w:eastAsia="Times New Roman" w:cs="Times New Roman"/>
          <w:lang w:val="id-ID"/>
        </w:rPr>
        <w:t>restricted</w:t>
      </w:r>
      <w:proofErr w:type="spellEnd"/>
      <w:r w:rsidRPr="00C138DE">
        <w:rPr>
          <w:rFonts w:eastAsia="Times New Roman" w:cs="Times New Roman"/>
          <w:lang w:val="id-ID"/>
        </w:rPr>
        <w:t xml:space="preserve"> </w:t>
      </w:r>
      <w:proofErr w:type="spellStart"/>
      <w:r w:rsidRPr="00C138DE">
        <w:rPr>
          <w:rFonts w:eastAsia="Times New Roman" w:cs="Times New Roman"/>
          <w:lang w:val="id-ID"/>
        </w:rPr>
        <w:t>to</w:t>
      </w:r>
      <w:proofErr w:type="spellEnd"/>
      <w:r w:rsidRPr="00C138DE">
        <w:rPr>
          <w:rFonts w:eastAsia="Times New Roman" w:cs="Times New Roman"/>
          <w:lang w:val="id-ID"/>
        </w:rPr>
        <w:t xml:space="preserve"> </w:t>
      </w:r>
      <w:proofErr w:type="spellStart"/>
      <w:r w:rsidRPr="00C138DE">
        <w:rPr>
          <w:rFonts w:eastAsia="Times New Roman" w:cs="Times New Roman"/>
          <w:lang w:val="id-ID"/>
        </w:rPr>
        <w:t>older</w:t>
      </w:r>
      <w:proofErr w:type="spellEnd"/>
      <w:r w:rsidRPr="00C138DE">
        <w:rPr>
          <w:rFonts w:eastAsia="Times New Roman" w:cs="Times New Roman"/>
          <w:lang w:val="id-ID"/>
        </w:rPr>
        <w:t xml:space="preserve"> </w:t>
      </w:r>
      <w:proofErr w:type="spellStart"/>
      <w:r w:rsidRPr="00C138DE">
        <w:rPr>
          <w:rFonts w:eastAsia="Times New Roman" w:cs="Times New Roman"/>
          <w:lang w:val="id-ID"/>
        </w:rPr>
        <w:t>age</w:t>
      </w:r>
      <w:proofErr w:type="spellEnd"/>
      <w:r w:rsidRPr="00C138DE">
        <w:rPr>
          <w:rFonts w:eastAsia="Times New Roman" w:cs="Times New Roman"/>
          <w:lang w:val="id-ID"/>
        </w:rPr>
        <w:t xml:space="preserve"> </w:t>
      </w:r>
      <w:proofErr w:type="spellStart"/>
      <w:r w:rsidRPr="00C138DE">
        <w:rPr>
          <w:rFonts w:eastAsia="Times New Roman" w:cs="Times New Roman"/>
          <w:lang w:val="id-ID"/>
        </w:rPr>
        <w:t>brackets</w:t>
      </w:r>
      <w:proofErr w:type="spellEnd"/>
      <w:r w:rsidRPr="00C138DE">
        <w:rPr>
          <w:rFonts w:eastAsia="Times New Roman" w:cs="Times New Roman"/>
          <w:lang w:val="id-ID"/>
        </w:rPr>
        <w:t xml:space="preserve"> </w:t>
      </w:r>
      <w:proofErr w:type="spellStart"/>
      <w:r w:rsidRPr="00C138DE">
        <w:rPr>
          <w:rFonts w:eastAsia="Times New Roman" w:cs="Times New Roman"/>
          <w:lang w:val="id-ID"/>
        </w:rPr>
        <w:t>but</w:t>
      </w:r>
      <w:proofErr w:type="spellEnd"/>
      <w:r w:rsidRPr="00C138DE">
        <w:rPr>
          <w:rFonts w:eastAsia="Times New Roman" w:cs="Times New Roman"/>
          <w:lang w:val="id-ID"/>
        </w:rPr>
        <w:t xml:space="preserve"> </w:t>
      </w:r>
      <w:proofErr w:type="spellStart"/>
      <w:r w:rsidRPr="00C138DE">
        <w:rPr>
          <w:rFonts w:eastAsia="Times New Roman" w:cs="Times New Roman"/>
          <w:lang w:val="id-ID"/>
        </w:rPr>
        <w:t>extended</w:t>
      </w:r>
      <w:proofErr w:type="spellEnd"/>
      <w:r w:rsidRPr="00C138DE">
        <w:rPr>
          <w:rFonts w:eastAsia="Times New Roman" w:cs="Times New Roman"/>
          <w:lang w:val="id-ID"/>
        </w:rPr>
        <w:t xml:space="preserve"> </w:t>
      </w:r>
      <w:proofErr w:type="spellStart"/>
      <w:r w:rsidRPr="00C138DE">
        <w:rPr>
          <w:rFonts w:eastAsia="Times New Roman" w:cs="Times New Roman"/>
          <w:lang w:val="id-ID"/>
        </w:rPr>
        <w:t>into</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middle-adult</w:t>
      </w:r>
      <w:proofErr w:type="spellEnd"/>
      <w:r w:rsidRPr="00C138DE">
        <w:rPr>
          <w:rFonts w:eastAsia="Times New Roman" w:cs="Times New Roman"/>
          <w:lang w:val="id-ID"/>
        </w:rPr>
        <w:t xml:space="preserve"> diabetes </w:t>
      </w:r>
      <w:proofErr w:type="spellStart"/>
      <w:r w:rsidRPr="00C138DE">
        <w:rPr>
          <w:rFonts w:eastAsia="Times New Roman" w:cs="Times New Roman"/>
          <w:lang w:val="id-ID"/>
        </w:rPr>
        <w:t>cohort</w:t>
      </w:r>
      <w:proofErr w:type="spellEnd"/>
      <w:r w:rsidRPr="00C138DE">
        <w:rPr>
          <w:rFonts w:eastAsia="Times New Roman" w:cs="Times New Roman"/>
          <w:lang w:val="id-ID"/>
        </w:rPr>
        <w:t xml:space="preserve">, </w:t>
      </w:r>
      <w:proofErr w:type="spellStart"/>
      <w:r w:rsidRPr="00C138DE">
        <w:rPr>
          <w:rFonts w:eastAsia="Times New Roman" w:cs="Times New Roman"/>
          <w:lang w:val="id-ID"/>
        </w:rPr>
        <w:t>broadening</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demographic</w:t>
      </w:r>
      <w:proofErr w:type="spellEnd"/>
      <w:r w:rsidRPr="00C138DE">
        <w:rPr>
          <w:rFonts w:eastAsia="Times New Roman" w:cs="Times New Roman"/>
          <w:lang w:val="id-ID"/>
        </w:rPr>
        <w:t xml:space="preserve"> </w:t>
      </w:r>
      <w:proofErr w:type="spellStart"/>
      <w:r w:rsidRPr="00C138DE">
        <w:rPr>
          <w:rFonts w:eastAsia="Times New Roman" w:cs="Times New Roman"/>
          <w:lang w:val="id-ID"/>
        </w:rPr>
        <w:t>applicability</w:t>
      </w:r>
      <w:proofErr w:type="spellEnd"/>
      <w:r w:rsidRPr="00C138DE">
        <w:rPr>
          <w:rFonts w:eastAsia="Times New Roman" w:cs="Times New Roman"/>
          <w:lang w:val="id-ID"/>
        </w:rPr>
        <w:t xml:space="preserve"> </w:t>
      </w:r>
      <w:proofErr w:type="spellStart"/>
      <w:r w:rsidRPr="00C138DE">
        <w:rPr>
          <w:rFonts w:eastAsia="Times New Roman" w:cs="Times New Roman"/>
          <w:lang w:val="id-ID"/>
        </w:rPr>
        <w:t>of</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muscle</w:t>
      </w:r>
      <w:proofErr w:type="spellEnd"/>
      <w:r w:rsidRPr="00C138DE">
        <w:rPr>
          <w:rFonts w:eastAsia="Times New Roman" w:cs="Times New Roman"/>
          <w:lang w:val="id-ID"/>
        </w:rPr>
        <w:t>–</w:t>
      </w:r>
      <w:proofErr w:type="spellStart"/>
      <w:r w:rsidRPr="00C138DE">
        <w:rPr>
          <w:rFonts w:eastAsia="Times New Roman" w:cs="Times New Roman"/>
          <w:lang w:val="id-ID"/>
        </w:rPr>
        <w:t>cognition</w:t>
      </w:r>
      <w:proofErr w:type="spellEnd"/>
      <w:r w:rsidRPr="00C138DE">
        <w:rPr>
          <w:rFonts w:eastAsia="Times New Roman" w:cs="Times New Roman"/>
          <w:lang w:val="id-ID"/>
        </w:rPr>
        <w:t xml:space="preserve"> </w:t>
      </w:r>
      <w:proofErr w:type="spellStart"/>
      <w:r w:rsidRPr="00C138DE">
        <w:rPr>
          <w:rFonts w:eastAsia="Times New Roman" w:cs="Times New Roman"/>
          <w:lang w:val="id-ID"/>
        </w:rPr>
        <w:t>nexus</w:t>
      </w:r>
      <w:proofErr w:type="spellEnd"/>
      <w:r w:rsidRPr="00C138DE">
        <w:rPr>
          <w:rFonts w:eastAsia="Times New Roman" w:cs="Times New Roman"/>
          <w:lang w:val="id-ID"/>
        </w:rPr>
        <w:t xml:space="preserve">. On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analytical</w:t>
      </w:r>
      <w:proofErr w:type="spellEnd"/>
      <w:r w:rsidRPr="00C138DE">
        <w:rPr>
          <w:rFonts w:eastAsia="Times New Roman" w:cs="Times New Roman"/>
          <w:lang w:val="id-ID"/>
        </w:rPr>
        <w:t xml:space="preserve"> </w:t>
      </w:r>
      <w:proofErr w:type="spellStart"/>
      <w:r w:rsidRPr="00C138DE">
        <w:rPr>
          <w:rFonts w:eastAsia="Times New Roman" w:cs="Times New Roman"/>
          <w:lang w:val="id-ID"/>
        </w:rPr>
        <w:t>plane</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decision</w:t>
      </w:r>
      <w:proofErr w:type="spellEnd"/>
      <w:r w:rsidRPr="00C138DE">
        <w:rPr>
          <w:rFonts w:eastAsia="Times New Roman" w:cs="Times New Roman"/>
          <w:lang w:val="id-ID"/>
        </w:rPr>
        <w:t xml:space="preserve"> </w:t>
      </w:r>
      <w:proofErr w:type="spellStart"/>
      <w:r w:rsidRPr="00C138DE">
        <w:rPr>
          <w:rFonts w:eastAsia="Times New Roman" w:cs="Times New Roman"/>
          <w:lang w:val="id-ID"/>
        </w:rPr>
        <w:t>to</w:t>
      </w:r>
      <w:proofErr w:type="spellEnd"/>
      <w:r w:rsidRPr="00C138DE">
        <w:rPr>
          <w:rFonts w:eastAsia="Times New Roman" w:cs="Times New Roman"/>
          <w:lang w:val="id-ID"/>
        </w:rPr>
        <w:t xml:space="preserve"> </w:t>
      </w:r>
      <w:proofErr w:type="spellStart"/>
      <w:r w:rsidRPr="00C138DE">
        <w:rPr>
          <w:rFonts w:eastAsia="Times New Roman" w:cs="Times New Roman"/>
          <w:lang w:val="id-ID"/>
        </w:rPr>
        <w:t>report</w:t>
      </w:r>
      <w:proofErr w:type="spellEnd"/>
      <w:r w:rsidRPr="00C138DE">
        <w:rPr>
          <w:rFonts w:eastAsia="Times New Roman" w:cs="Times New Roman"/>
          <w:lang w:val="id-ID"/>
        </w:rPr>
        <w:t xml:space="preserve"> </w:t>
      </w:r>
      <w:proofErr w:type="spellStart"/>
      <w:r w:rsidRPr="00C138DE">
        <w:rPr>
          <w:rFonts w:eastAsia="Times New Roman" w:cs="Times New Roman"/>
          <w:lang w:val="id-ID"/>
        </w:rPr>
        <w:t>prevalence</w:t>
      </w:r>
      <w:proofErr w:type="spellEnd"/>
      <w:r w:rsidRPr="00C138DE">
        <w:rPr>
          <w:rFonts w:eastAsia="Times New Roman" w:cs="Times New Roman"/>
          <w:lang w:val="id-ID"/>
        </w:rPr>
        <w:t xml:space="preserve"> </w:t>
      </w:r>
      <w:proofErr w:type="spellStart"/>
      <w:r w:rsidRPr="00C138DE">
        <w:rPr>
          <w:rFonts w:eastAsia="Times New Roman" w:cs="Times New Roman"/>
          <w:lang w:val="id-ID"/>
        </w:rPr>
        <w:t>ratios</w:t>
      </w:r>
      <w:proofErr w:type="spellEnd"/>
      <w:r w:rsidRPr="00C138DE">
        <w:rPr>
          <w:rFonts w:eastAsia="Times New Roman" w:cs="Times New Roman"/>
          <w:lang w:val="id-ID"/>
        </w:rPr>
        <w:t xml:space="preserve"> </w:t>
      </w:r>
      <w:proofErr w:type="spellStart"/>
      <w:r w:rsidRPr="00C138DE">
        <w:rPr>
          <w:rFonts w:eastAsia="Times New Roman" w:cs="Times New Roman"/>
          <w:lang w:val="id-ID"/>
        </w:rPr>
        <w:t>rather</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than</w:t>
      </w:r>
      <w:proofErr w:type="spellEnd"/>
      <w:r w:rsidRPr="00C138DE">
        <w:rPr>
          <w:rFonts w:eastAsia="Times New Roman" w:cs="Times New Roman"/>
          <w:lang w:val="id-ID"/>
        </w:rPr>
        <w:t xml:space="preserve"> </w:t>
      </w:r>
      <w:proofErr w:type="spellStart"/>
      <w:r w:rsidRPr="00C138DE">
        <w:rPr>
          <w:rFonts w:eastAsia="Times New Roman" w:cs="Times New Roman"/>
          <w:lang w:val="id-ID"/>
        </w:rPr>
        <w:t>odds</w:t>
      </w:r>
      <w:proofErr w:type="spellEnd"/>
      <w:r w:rsidRPr="00C138DE">
        <w:rPr>
          <w:rFonts w:eastAsia="Times New Roman" w:cs="Times New Roman"/>
          <w:lang w:val="id-ID"/>
        </w:rPr>
        <w:t xml:space="preserve"> </w:t>
      </w:r>
      <w:proofErr w:type="spellStart"/>
      <w:r w:rsidRPr="00C138DE">
        <w:rPr>
          <w:rFonts w:eastAsia="Times New Roman" w:cs="Times New Roman"/>
          <w:lang w:val="id-ID"/>
        </w:rPr>
        <w:t>ratios</w:t>
      </w:r>
      <w:proofErr w:type="spellEnd"/>
      <w:r w:rsidRPr="00C138DE">
        <w:rPr>
          <w:rFonts w:eastAsia="Times New Roman" w:cs="Times New Roman"/>
          <w:lang w:val="id-ID"/>
        </w:rPr>
        <w:t xml:space="preserve"> </w:t>
      </w:r>
      <w:proofErr w:type="spellStart"/>
      <w:r w:rsidRPr="00C138DE">
        <w:rPr>
          <w:rFonts w:eastAsia="Times New Roman" w:cs="Times New Roman"/>
          <w:lang w:val="id-ID"/>
        </w:rPr>
        <w:t>was</w:t>
      </w:r>
      <w:proofErr w:type="spellEnd"/>
      <w:r w:rsidRPr="00C138DE">
        <w:rPr>
          <w:rFonts w:eastAsia="Times New Roman" w:cs="Times New Roman"/>
          <w:lang w:val="id-ID"/>
        </w:rPr>
        <w:t xml:space="preserve"> </w:t>
      </w:r>
      <w:proofErr w:type="spellStart"/>
      <w:r w:rsidRPr="00C138DE">
        <w:rPr>
          <w:rFonts w:eastAsia="Times New Roman" w:cs="Times New Roman"/>
          <w:lang w:val="id-ID"/>
        </w:rPr>
        <w:t>deliberate</w:t>
      </w:r>
      <w:proofErr w:type="spellEnd"/>
      <w:r w:rsidRPr="00C138DE">
        <w:rPr>
          <w:rFonts w:eastAsia="Times New Roman" w:cs="Times New Roman"/>
          <w:lang w:val="id-ID"/>
        </w:rPr>
        <w:t xml:space="preserve">: </w:t>
      </w:r>
      <w:proofErr w:type="spellStart"/>
      <w:r w:rsidRPr="00C138DE">
        <w:rPr>
          <w:rFonts w:eastAsia="Times New Roman" w:cs="Times New Roman"/>
          <w:lang w:val="id-ID"/>
        </w:rPr>
        <w:t>when</w:t>
      </w:r>
      <w:proofErr w:type="spellEnd"/>
      <w:r w:rsidRPr="00C138DE">
        <w:rPr>
          <w:rFonts w:eastAsia="Times New Roman" w:cs="Times New Roman"/>
          <w:lang w:val="id-ID"/>
        </w:rPr>
        <w:t xml:space="preserve"> </w:t>
      </w:r>
      <w:proofErr w:type="spellStart"/>
      <w:r w:rsidRPr="00C138DE">
        <w:rPr>
          <w:rFonts w:eastAsia="Times New Roman" w:cs="Times New Roman"/>
          <w:lang w:val="id-ID"/>
        </w:rPr>
        <w:t>outcome</w:t>
      </w:r>
      <w:proofErr w:type="spellEnd"/>
      <w:r w:rsidRPr="00C138DE">
        <w:rPr>
          <w:rFonts w:eastAsia="Times New Roman" w:cs="Times New Roman"/>
          <w:lang w:val="id-ID"/>
        </w:rPr>
        <w:t xml:space="preserve"> </w:t>
      </w:r>
      <w:proofErr w:type="spellStart"/>
      <w:r w:rsidRPr="00C138DE">
        <w:rPr>
          <w:rFonts w:eastAsia="Times New Roman" w:cs="Times New Roman"/>
          <w:lang w:val="id-ID"/>
        </w:rPr>
        <w:t>prevalence</w:t>
      </w:r>
      <w:proofErr w:type="spellEnd"/>
      <w:r w:rsidRPr="00C138DE">
        <w:rPr>
          <w:rFonts w:eastAsia="Times New Roman" w:cs="Times New Roman"/>
          <w:lang w:val="id-ID"/>
        </w:rPr>
        <w:t xml:space="preserve"> </w:t>
      </w:r>
      <w:proofErr w:type="spellStart"/>
      <w:r w:rsidRPr="00C138DE">
        <w:rPr>
          <w:rFonts w:eastAsia="Times New Roman" w:cs="Times New Roman"/>
          <w:lang w:val="id-ID"/>
        </w:rPr>
        <w:t>is</w:t>
      </w:r>
      <w:proofErr w:type="spellEnd"/>
      <w:r w:rsidRPr="00C138DE">
        <w:rPr>
          <w:rFonts w:eastAsia="Times New Roman" w:cs="Times New Roman"/>
          <w:lang w:val="id-ID"/>
        </w:rPr>
        <w:t xml:space="preserve"> </w:t>
      </w:r>
      <w:proofErr w:type="spellStart"/>
      <w:r w:rsidRPr="00C138DE">
        <w:rPr>
          <w:rFonts w:eastAsia="Times New Roman" w:cs="Times New Roman"/>
          <w:lang w:val="id-ID"/>
        </w:rPr>
        <w:t>nontrivial</w:t>
      </w:r>
      <w:proofErr w:type="spellEnd"/>
      <w:r w:rsidRPr="00C138DE">
        <w:rPr>
          <w:rFonts w:eastAsia="Times New Roman" w:cs="Times New Roman"/>
          <w:lang w:val="id-ID"/>
        </w:rPr>
        <w:t xml:space="preserve">, as in </w:t>
      </w:r>
      <w:proofErr w:type="spellStart"/>
      <w:r w:rsidRPr="00C138DE">
        <w:rPr>
          <w:rFonts w:eastAsia="Times New Roman" w:cs="Times New Roman"/>
          <w:lang w:val="id-ID"/>
        </w:rPr>
        <w:t>this</w:t>
      </w:r>
      <w:proofErr w:type="spellEnd"/>
      <w:r w:rsidRPr="00C138DE">
        <w:rPr>
          <w:rFonts w:eastAsia="Times New Roman" w:cs="Times New Roman"/>
          <w:lang w:val="id-ID"/>
        </w:rPr>
        <w:t xml:space="preserve"> </w:t>
      </w:r>
      <w:proofErr w:type="spellStart"/>
      <w:r w:rsidRPr="00C138DE">
        <w:rPr>
          <w:rFonts w:eastAsia="Times New Roman" w:cs="Times New Roman"/>
          <w:lang w:val="id-ID"/>
        </w:rPr>
        <w:t>cross-sectional</w:t>
      </w:r>
      <w:proofErr w:type="spellEnd"/>
      <w:r w:rsidRPr="00C138DE">
        <w:rPr>
          <w:rFonts w:eastAsia="Times New Roman" w:cs="Times New Roman"/>
          <w:lang w:val="id-ID"/>
        </w:rPr>
        <w:t xml:space="preserve"> </w:t>
      </w:r>
      <w:proofErr w:type="spellStart"/>
      <w:r w:rsidRPr="00C138DE">
        <w:rPr>
          <w:rFonts w:eastAsia="Times New Roman" w:cs="Times New Roman"/>
          <w:lang w:val="id-ID"/>
        </w:rPr>
        <w:t>dataset</w:t>
      </w:r>
      <w:proofErr w:type="spellEnd"/>
      <w:r w:rsidRPr="00C138DE">
        <w:rPr>
          <w:rFonts w:eastAsia="Times New Roman" w:cs="Times New Roman"/>
          <w:lang w:val="id-ID"/>
        </w:rPr>
        <w:t xml:space="preserve">, </w:t>
      </w:r>
      <w:proofErr w:type="spellStart"/>
      <w:r w:rsidRPr="00C138DE">
        <w:rPr>
          <w:rFonts w:eastAsia="Times New Roman" w:cs="Times New Roman"/>
          <w:lang w:val="id-ID"/>
        </w:rPr>
        <w:t>odds</w:t>
      </w:r>
      <w:proofErr w:type="spellEnd"/>
      <w:r w:rsidRPr="00C138DE">
        <w:rPr>
          <w:rFonts w:eastAsia="Times New Roman" w:cs="Times New Roman"/>
          <w:lang w:val="id-ID"/>
        </w:rPr>
        <w:t xml:space="preserve"> </w:t>
      </w:r>
      <w:proofErr w:type="spellStart"/>
      <w:r w:rsidRPr="00C138DE">
        <w:rPr>
          <w:rFonts w:eastAsia="Times New Roman" w:cs="Times New Roman"/>
          <w:lang w:val="id-ID"/>
        </w:rPr>
        <w:t>ratios</w:t>
      </w:r>
      <w:proofErr w:type="spellEnd"/>
      <w:r w:rsidRPr="00C138DE">
        <w:rPr>
          <w:rFonts w:eastAsia="Times New Roman" w:cs="Times New Roman"/>
          <w:lang w:val="id-ID"/>
        </w:rPr>
        <w:t xml:space="preserve"> </w:t>
      </w:r>
      <w:proofErr w:type="spellStart"/>
      <w:r w:rsidRPr="00C138DE">
        <w:rPr>
          <w:rFonts w:eastAsia="Times New Roman" w:cs="Times New Roman"/>
          <w:lang w:val="id-ID"/>
        </w:rPr>
        <w:t>inflate</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apparent</w:t>
      </w:r>
      <w:proofErr w:type="spellEnd"/>
      <w:r w:rsidRPr="00C138DE">
        <w:rPr>
          <w:rFonts w:eastAsia="Times New Roman" w:cs="Times New Roman"/>
          <w:lang w:val="id-ID"/>
        </w:rPr>
        <w:t xml:space="preserve"> </w:t>
      </w:r>
      <w:proofErr w:type="spellStart"/>
      <w:r w:rsidRPr="00C138DE">
        <w:rPr>
          <w:rFonts w:eastAsia="Times New Roman" w:cs="Times New Roman"/>
          <w:lang w:val="id-ID"/>
        </w:rPr>
        <w:t>magnitude</w:t>
      </w:r>
      <w:proofErr w:type="spellEnd"/>
      <w:r w:rsidRPr="00C138DE">
        <w:rPr>
          <w:rFonts w:eastAsia="Times New Roman" w:cs="Times New Roman"/>
          <w:lang w:val="id-ID"/>
        </w:rPr>
        <w:t xml:space="preserve"> </w:t>
      </w:r>
      <w:proofErr w:type="spellStart"/>
      <w:r w:rsidRPr="00C138DE">
        <w:rPr>
          <w:rFonts w:eastAsia="Times New Roman" w:cs="Times New Roman"/>
          <w:lang w:val="id-ID"/>
        </w:rPr>
        <w:t>of</w:t>
      </w:r>
      <w:proofErr w:type="spellEnd"/>
      <w:r w:rsidRPr="00C138DE">
        <w:rPr>
          <w:rFonts w:eastAsia="Times New Roman" w:cs="Times New Roman"/>
          <w:lang w:val="id-ID"/>
        </w:rPr>
        <w:t xml:space="preserve"> </w:t>
      </w:r>
      <w:proofErr w:type="spellStart"/>
      <w:r w:rsidRPr="00C138DE">
        <w:rPr>
          <w:rFonts w:eastAsia="Times New Roman" w:cs="Times New Roman"/>
          <w:lang w:val="id-ID"/>
        </w:rPr>
        <w:t>association</w:t>
      </w:r>
      <w:proofErr w:type="spellEnd"/>
      <w:r w:rsidRPr="00C138DE">
        <w:rPr>
          <w:rFonts w:eastAsia="Times New Roman" w:cs="Times New Roman"/>
          <w:lang w:val="id-ID"/>
        </w:rPr>
        <w:t xml:space="preserve">, </w:t>
      </w:r>
      <w:proofErr w:type="spellStart"/>
      <w:r w:rsidRPr="00C138DE">
        <w:rPr>
          <w:rFonts w:eastAsia="Times New Roman" w:cs="Times New Roman"/>
          <w:lang w:val="id-ID"/>
        </w:rPr>
        <w:t>whereas</w:t>
      </w:r>
      <w:proofErr w:type="spellEnd"/>
      <w:r w:rsidRPr="00C138DE">
        <w:rPr>
          <w:rFonts w:eastAsia="Times New Roman" w:cs="Times New Roman"/>
          <w:lang w:val="id-ID"/>
        </w:rPr>
        <w:t xml:space="preserve"> </w:t>
      </w:r>
      <w:proofErr w:type="spellStart"/>
      <w:r w:rsidRPr="00C138DE">
        <w:rPr>
          <w:rFonts w:eastAsia="Times New Roman" w:cs="Times New Roman"/>
          <w:lang w:val="id-ID"/>
        </w:rPr>
        <w:t>prevalence</w:t>
      </w:r>
      <w:proofErr w:type="spellEnd"/>
      <w:r w:rsidRPr="00C138DE">
        <w:rPr>
          <w:rFonts w:eastAsia="Times New Roman" w:cs="Times New Roman"/>
          <w:lang w:val="id-ID"/>
        </w:rPr>
        <w:t xml:space="preserve"> </w:t>
      </w:r>
      <w:proofErr w:type="spellStart"/>
      <w:r w:rsidRPr="00C138DE">
        <w:rPr>
          <w:rFonts w:eastAsia="Times New Roman" w:cs="Times New Roman"/>
          <w:lang w:val="id-ID"/>
        </w:rPr>
        <w:t>ratios</w:t>
      </w:r>
      <w:proofErr w:type="spellEnd"/>
      <w:r w:rsidRPr="00C138DE">
        <w:rPr>
          <w:rFonts w:eastAsia="Times New Roman" w:cs="Times New Roman"/>
          <w:lang w:val="id-ID"/>
        </w:rPr>
        <w:t xml:space="preserve"> </w:t>
      </w:r>
      <w:proofErr w:type="spellStart"/>
      <w:r w:rsidRPr="00C138DE">
        <w:rPr>
          <w:rFonts w:eastAsia="Times New Roman" w:cs="Times New Roman"/>
          <w:lang w:val="id-ID"/>
        </w:rPr>
        <w:t>convey</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true</w:t>
      </w:r>
      <w:proofErr w:type="spellEnd"/>
      <w:r w:rsidRPr="00C138DE">
        <w:rPr>
          <w:rFonts w:eastAsia="Times New Roman" w:cs="Times New Roman"/>
          <w:lang w:val="id-ID"/>
        </w:rPr>
        <w:t xml:space="preserve"> </w:t>
      </w:r>
      <w:proofErr w:type="spellStart"/>
      <w:r w:rsidRPr="00C138DE">
        <w:rPr>
          <w:rFonts w:eastAsia="Times New Roman" w:cs="Times New Roman"/>
          <w:lang w:val="id-ID"/>
        </w:rPr>
        <w:t>excess</w:t>
      </w:r>
      <w:proofErr w:type="spellEnd"/>
      <w:r w:rsidRPr="00C138DE">
        <w:rPr>
          <w:rFonts w:eastAsia="Times New Roman" w:cs="Times New Roman"/>
          <w:lang w:val="id-ID"/>
        </w:rPr>
        <w:t xml:space="preserve"> </w:t>
      </w:r>
      <w:proofErr w:type="spellStart"/>
      <w:r w:rsidRPr="00C138DE">
        <w:rPr>
          <w:rFonts w:eastAsia="Times New Roman" w:cs="Times New Roman"/>
          <w:lang w:val="id-ID"/>
        </w:rPr>
        <w:t>risk</w:t>
      </w:r>
      <w:proofErr w:type="spellEnd"/>
      <w:r w:rsidRPr="00C138DE">
        <w:rPr>
          <w:rFonts w:eastAsia="Times New Roman" w:cs="Times New Roman"/>
          <w:lang w:val="id-ID"/>
        </w:rPr>
        <w:t xml:space="preserve"> </w:t>
      </w:r>
      <w:proofErr w:type="spellStart"/>
      <w:r w:rsidRPr="00C138DE">
        <w:rPr>
          <w:rFonts w:eastAsia="Times New Roman" w:cs="Times New Roman"/>
          <w:lang w:val="id-ID"/>
        </w:rPr>
        <w:t>with</w:t>
      </w:r>
      <w:proofErr w:type="spellEnd"/>
      <w:r w:rsidRPr="00C138DE">
        <w:rPr>
          <w:rFonts w:eastAsia="Times New Roman" w:cs="Times New Roman"/>
          <w:lang w:val="id-ID"/>
        </w:rPr>
        <w:t xml:space="preserve"> </w:t>
      </w:r>
      <w:proofErr w:type="spellStart"/>
      <w:r w:rsidRPr="00C138DE">
        <w:rPr>
          <w:rFonts w:eastAsia="Times New Roman" w:cs="Times New Roman"/>
          <w:lang w:val="id-ID"/>
        </w:rPr>
        <w:t>greater</w:t>
      </w:r>
      <w:proofErr w:type="spellEnd"/>
      <w:r w:rsidRPr="00C138DE">
        <w:rPr>
          <w:rFonts w:eastAsia="Times New Roman" w:cs="Times New Roman"/>
          <w:lang w:val="id-ID"/>
        </w:rPr>
        <w:t xml:space="preserve"> </w:t>
      </w:r>
      <w:proofErr w:type="spellStart"/>
      <w:r w:rsidRPr="00C138DE">
        <w:rPr>
          <w:rFonts w:eastAsia="Times New Roman" w:cs="Times New Roman"/>
          <w:lang w:val="id-ID"/>
        </w:rPr>
        <w:t>fidelity</w:t>
      </w:r>
      <w:proofErr w:type="spellEnd"/>
      <w:r w:rsidRPr="00C138DE">
        <w:rPr>
          <w:rFonts w:eastAsia="Times New Roman" w:cs="Times New Roman"/>
          <w:lang w:val="id-ID"/>
        </w:rPr>
        <w:t xml:space="preserve"> </w:t>
      </w:r>
      <w:hyperlink w:anchor="Karp" w:history="1">
        <w:r w:rsidRPr="00C138DE">
          <w:rPr>
            <w:rStyle w:val="Hyperlink"/>
            <w:rFonts w:eastAsia="Times New Roman" w:cs="Times New Roman"/>
            <w:u w:val="none"/>
            <w:lang w:val="id-ID"/>
          </w:rPr>
          <w:t>(</w:t>
        </w:r>
        <w:proofErr w:type="spellStart"/>
        <w:r w:rsidRPr="00C138DE">
          <w:rPr>
            <w:rStyle w:val="Hyperlink"/>
            <w:rFonts w:eastAsia="Times New Roman" w:cs="Times New Roman"/>
            <w:u w:val="none"/>
            <w:lang w:val="id-ID"/>
          </w:rPr>
          <w:t>Karp</w:t>
        </w:r>
        <w:proofErr w:type="spellEnd"/>
        <w:r w:rsidRPr="00C138DE">
          <w:rPr>
            <w:rStyle w:val="Hyperlink"/>
            <w:rFonts w:eastAsia="Times New Roman" w:cs="Times New Roman"/>
            <w:u w:val="none"/>
            <w:lang w:val="id-ID"/>
          </w:rPr>
          <w:t>, 2014)</w:t>
        </w:r>
      </w:hyperlink>
      <w:r w:rsidRPr="00C138DE">
        <w:rPr>
          <w:rFonts w:eastAsia="Times New Roman" w:cs="Times New Roman"/>
          <w:lang w:val="id-ID"/>
        </w:rPr>
        <w:t xml:space="preserve">. </w:t>
      </w:r>
      <w:proofErr w:type="spellStart"/>
      <w:r w:rsidRPr="00C138DE">
        <w:rPr>
          <w:rFonts w:eastAsia="Times New Roman" w:cs="Times New Roman"/>
          <w:lang w:val="id-ID"/>
        </w:rPr>
        <w:t>It</w:t>
      </w:r>
      <w:proofErr w:type="spellEnd"/>
      <w:r w:rsidRPr="00C138DE">
        <w:rPr>
          <w:rFonts w:eastAsia="Times New Roman" w:cs="Times New Roman"/>
          <w:lang w:val="id-ID"/>
        </w:rPr>
        <w:t xml:space="preserve"> </w:t>
      </w:r>
      <w:proofErr w:type="spellStart"/>
      <w:r w:rsidRPr="00C138DE">
        <w:rPr>
          <w:rFonts w:eastAsia="Times New Roman" w:cs="Times New Roman"/>
          <w:lang w:val="id-ID"/>
        </w:rPr>
        <w:t>warrants</w:t>
      </w:r>
      <w:proofErr w:type="spellEnd"/>
      <w:r w:rsidRPr="00C138DE">
        <w:rPr>
          <w:rFonts w:eastAsia="Times New Roman" w:cs="Times New Roman"/>
          <w:lang w:val="id-ID"/>
        </w:rPr>
        <w:t xml:space="preserve"> </w:t>
      </w:r>
      <w:proofErr w:type="spellStart"/>
      <w:r w:rsidRPr="00C138DE">
        <w:rPr>
          <w:rFonts w:eastAsia="Times New Roman" w:cs="Times New Roman"/>
          <w:lang w:val="id-ID"/>
        </w:rPr>
        <w:t>emphasis</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that</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interpretation</w:t>
      </w:r>
      <w:proofErr w:type="spellEnd"/>
      <w:r w:rsidRPr="00C138DE">
        <w:rPr>
          <w:rFonts w:eastAsia="Times New Roman" w:cs="Times New Roman"/>
          <w:lang w:val="id-ID"/>
        </w:rPr>
        <w:t xml:space="preserve"> </w:t>
      </w:r>
      <w:proofErr w:type="spellStart"/>
      <w:r w:rsidRPr="00C138DE">
        <w:rPr>
          <w:rFonts w:eastAsia="Times New Roman" w:cs="Times New Roman"/>
          <w:lang w:val="id-ID"/>
        </w:rPr>
        <w:t>of</w:t>
      </w:r>
      <w:proofErr w:type="spellEnd"/>
      <w:r w:rsidRPr="00C138DE">
        <w:rPr>
          <w:rFonts w:eastAsia="Times New Roman" w:cs="Times New Roman"/>
          <w:lang w:val="id-ID"/>
        </w:rPr>
        <w:t xml:space="preserve"> </w:t>
      </w:r>
      <w:proofErr w:type="spellStart"/>
      <w:r w:rsidRPr="00C138DE">
        <w:rPr>
          <w:rFonts w:eastAsia="Times New Roman" w:cs="Times New Roman"/>
          <w:lang w:val="id-ID"/>
        </w:rPr>
        <w:t>sarcopenia</w:t>
      </w:r>
      <w:proofErr w:type="spellEnd"/>
      <w:r w:rsidRPr="00C138DE">
        <w:rPr>
          <w:rFonts w:eastAsia="Times New Roman" w:cs="Times New Roman"/>
          <w:lang w:val="id-ID"/>
        </w:rPr>
        <w:t xml:space="preserve"> as a </w:t>
      </w:r>
      <w:proofErr w:type="spellStart"/>
      <w:r w:rsidRPr="00C138DE">
        <w:rPr>
          <w:rFonts w:eastAsia="Times New Roman" w:cs="Times New Roman"/>
          <w:lang w:val="id-ID"/>
        </w:rPr>
        <w:t>sentinel</w:t>
      </w:r>
      <w:proofErr w:type="spellEnd"/>
      <w:r w:rsidRPr="00C138DE">
        <w:rPr>
          <w:rFonts w:eastAsia="Times New Roman" w:cs="Times New Roman"/>
          <w:lang w:val="id-ID"/>
        </w:rPr>
        <w:t xml:space="preserve"> </w:t>
      </w:r>
      <w:proofErr w:type="spellStart"/>
      <w:r w:rsidRPr="00C138DE">
        <w:rPr>
          <w:rFonts w:eastAsia="Times New Roman" w:cs="Times New Roman"/>
          <w:lang w:val="id-ID"/>
        </w:rPr>
        <w:t>of</w:t>
      </w:r>
      <w:proofErr w:type="spellEnd"/>
      <w:r w:rsidRPr="00C138DE">
        <w:rPr>
          <w:rFonts w:eastAsia="Times New Roman" w:cs="Times New Roman"/>
          <w:lang w:val="id-ID"/>
        </w:rPr>
        <w:t xml:space="preserve"> </w:t>
      </w:r>
      <w:proofErr w:type="spellStart"/>
      <w:r w:rsidRPr="00C138DE">
        <w:rPr>
          <w:rFonts w:eastAsia="Times New Roman" w:cs="Times New Roman"/>
          <w:lang w:val="id-ID"/>
        </w:rPr>
        <w:t>underlying</w:t>
      </w:r>
      <w:proofErr w:type="spellEnd"/>
      <w:r w:rsidRPr="00C138DE">
        <w:rPr>
          <w:rFonts w:eastAsia="Times New Roman" w:cs="Times New Roman"/>
          <w:lang w:val="id-ID"/>
        </w:rPr>
        <w:t xml:space="preserve"> </w:t>
      </w:r>
      <w:proofErr w:type="spellStart"/>
      <w:r w:rsidRPr="00C138DE">
        <w:rPr>
          <w:rFonts w:eastAsia="Times New Roman" w:cs="Times New Roman"/>
          <w:lang w:val="id-ID"/>
        </w:rPr>
        <w:t>systemic</w:t>
      </w:r>
      <w:proofErr w:type="spellEnd"/>
      <w:r w:rsidRPr="00C138DE">
        <w:rPr>
          <w:rFonts w:eastAsia="Times New Roman" w:cs="Times New Roman"/>
          <w:lang w:val="id-ID"/>
        </w:rPr>
        <w:t xml:space="preserve"> </w:t>
      </w:r>
      <w:proofErr w:type="spellStart"/>
      <w:r w:rsidRPr="00C138DE">
        <w:rPr>
          <w:rFonts w:eastAsia="Times New Roman" w:cs="Times New Roman"/>
          <w:lang w:val="id-ID"/>
        </w:rPr>
        <w:t>inflammation</w:t>
      </w:r>
      <w:proofErr w:type="spellEnd"/>
      <w:r w:rsidRPr="00C138DE">
        <w:rPr>
          <w:rFonts w:eastAsia="Times New Roman" w:cs="Times New Roman"/>
          <w:lang w:val="id-ID"/>
        </w:rPr>
        <w:t xml:space="preserve"> </w:t>
      </w:r>
      <w:proofErr w:type="spellStart"/>
      <w:r w:rsidRPr="00C138DE">
        <w:rPr>
          <w:rFonts w:eastAsia="Times New Roman" w:cs="Times New Roman"/>
          <w:lang w:val="id-ID"/>
        </w:rPr>
        <w:t>constitutes</w:t>
      </w:r>
      <w:proofErr w:type="spellEnd"/>
      <w:r w:rsidRPr="00C138DE">
        <w:rPr>
          <w:rFonts w:eastAsia="Times New Roman" w:cs="Times New Roman"/>
          <w:lang w:val="id-ID"/>
        </w:rPr>
        <w:t xml:space="preserve"> </w:t>
      </w:r>
      <w:proofErr w:type="spellStart"/>
      <w:r w:rsidRPr="00C138DE">
        <w:rPr>
          <w:rFonts w:eastAsia="Times New Roman" w:cs="Times New Roman"/>
          <w:lang w:val="id-ID"/>
        </w:rPr>
        <w:t>an</w:t>
      </w:r>
      <w:proofErr w:type="spellEnd"/>
      <w:r w:rsidRPr="00C138DE">
        <w:rPr>
          <w:rFonts w:eastAsia="Times New Roman" w:cs="Times New Roman"/>
          <w:lang w:val="id-ID"/>
        </w:rPr>
        <w:t xml:space="preserve"> </w:t>
      </w:r>
      <w:proofErr w:type="spellStart"/>
      <w:r w:rsidRPr="00C138DE">
        <w:rPr>
          <w:rFonts w:eastAsia="Times New Roman" w:cs="Times New Roman"/>
          <w:lang w:val="id-ID"/>
        </w:rPr>
        <w:t>inference</w:t>
      </w:r>
      <w:proofErr w:type="spellEnd"/>
      <w:r w:rsidRPr="00C138DE">
        <w:rPr>
          <w:rFonts w:eastAsia="Times New Roman" w:cs="Times New Roman"/>
          <w:lang w:val="id-ID"/>
        </w:rPr>
        <w:t xml:space="preserve"> </w:t>
      </w:r>
      <w:proofErr w:type="spellStart"/>
      <w:r w:rsidRPr="00C138DE">
        <w:rPr>
          <w:rFonts w:eastAsia="Times New Roman" w:cs="Times New Roman"/>
          <w:lang w:val="id-ID"/>
        </w:rPr>
        <w:t>grounded</w:t>
      </w:r>
      <w:proofErr w:type="spellEnd"/>
      <w:r w:rsidRPr="00C138DE">
        <w:rPr>
          <w:rFonts w:eastAsia="Times New Roman" w:cs="Times New Roman"/>
          <w:lang w:val="id-ID"/>
        </w:rPr>
        <w:t xml:space="preserve"> in </w:t>
      </w:r>
      <w:proofErr w:type="spellStart"/>
      <w:r w:rsidRPr="00C138DE">
        <w:rPr>
          <w:rFonts w:eastAsia="Times New Roman" w:cs="Times New Roman"/>
          <w:lang w:val="id-ID"/>
        </w:rPr>
        <w:t>prior</w:t>
      </w:r>
      <w:proofErr w:type="spellEnd"/>
      <w:r w:rsidRPr="00C138DE">
        <w:rPr>
          <w:rFonts w:eastAsia="Times New Roman" w:cs="Times New Roman"/>
          <w:lang w:val="id-ID"/>
        </w:rPr>
        <w:t xml:space="preserve"> </w:t>
      </w:r>
      <w:proofErr w:type="spellStart"/>
      <w:r w:rsidRPr="00C138DE">
        <w:rPr>
          <w:rFonts w:eastAsia="Times New Roman" w:cs="Times New Roman"/>
          <w:lang w:val="id-ID"/>
        </w:rPr>
        <w:t>published</w:t>
      </w:r>
      <w:proofErr w:type="spellEnd"/>
      <w:r w:rsidRPr="00C138DE">
        <w:rPr>
          <w:rFonts w:eastAsia="Times New Roman" w:cs="Times New Roman"/>
          <w:lang w:val="id-ID"/>
        </w:rPr>
        <w:t xml:space="preserve"> </w:t>
      </w:r>
      <w:proofErr w:type="spellStart"/>
      <w:r w:rsidRPr="00C138DE">
        <w:rPr>
          <w:rFonts w:eastAsia="Times New Roman" w:cs="Times New Roman"/>
          <w:lang w:val="id-ID"/>
        </w:rPr>
        <w:t>evidence</w:t>
      </w:r>
      <w:proofErr w:type="spellEnd"/>
      <w:r w:rsidRPr="00C138DE">
        <w:rPr>
          <w:rFonts w:eastAsia="Times New Roman" w:cs="Times New Roman"/>
          <w:lang w:val="id-ID"/>
        </w:rPr>
        <w:t xml:space="preserve"> </w:t>
      </w:r>
      <w:proofErr w:type="spellStart"/>
      <w:r w:rsidRPr="00C138DE">
        <w:rPr>
          <w:rFonts w:eastAsia="Times New Roman" w:cs="Times New Roman"/>
          <w:lang w:val="id-ID"/>
        </w:rPr>
        <w:t>and</w:t>
      </w:r>
      <w:proofErr w:type="spellEnd"/>
      <w:r w:rsidRPr="00C138DE">
        <w:rPr>
          <w:rFonts w:eastAsia="Times New Roman" w:cs="Times New Roman"/>
          <w:lang w:val="id-ID"/>
        </w:rPr>
        <w:t xml:space="preserve"> not a </w:t>
      </w:r>
      <w:proofErr w:type="spellStart"/>
      <w:r w:rsidRPr="00C138DE">
        <w:rPr>
          <w:rFonts w:eastAsia="Times New Roman" w:cs="Times New Roman"/>
          <w:lang w:val="id-ID"/>
        </w:rPr>
        <w:t>direct</w:t>
      </w:r>
      <w:proofErr w:type="spellEnd"/>
      <w:r w:rsidRPr="00C138DE">
        <w:rPr>
          <w:rFonts w:eastAsia="Times New Roman" w:cs="Times New Roman"/>
          <w:lang w:val="id-ID"/>
        </w:rPr>
        <w:t xml:space="preserve"> </w:t>
      </w:r>
      <w:proofErr w:type="spellStart"/>
      <w:r w:rsidRPr="00C138DE">
        <w:rPr>
          <w:rFonts w:eastAsia="Times New Roman" w:cs="Times New Roman"/>
          <w:lang w:val="id-ID"/>
        </w:rPr>
        <w:t>empirical</w:t>
      </w:r>
      <w:proofErr w:type="spellEnd"/>
      <w:r w:rsidRPr="00C138DE">
        <w:rPr>
          <w:rFonts w:eastAsia="Times New Roman" w:cs="Times New Roman"/>
          <w:lang w:val="id-ID"/>
        </w:rPr>
        <w:t xml:space="preserve"> </w:t>
      </w:r>
      <w:proofErr w:type="spellStart"/>
      <w:r w:rsidRPr="00C138DE">
        <w:rPr>
          <w:rFonts w:eastAsia="Times New Roman" w:cs="Times New Roman"/>
          <w:lang w:val="id-ID"/>
        </w:rPr>
        <w:t>demonstration</w:t>
      </w:r>
      <w:proofErr w:type="spellEnd"/>
      <w:r w:rsidRPr="00C138DE">
        <w:rPr>
          <w:rFonts w:eastAsia="Times New Roman" w:cs="Times New Roman"/>
          <w:lang w:val="id-ID"/>
        </w:rPr>
        <w:t xml:space="preserve"> </w:t>
      </w:r>
      <w:proofErr w:type="spellStart"/>
      <w:r w:rsidRPr="00C138DE">
        <w:rPr>
          <w:rFonts w:eastAsia="Times New Roman" w:cs="Times New Roman"/>
          <w:lang w:val="id-ID"/>
        </w:rPr>
        <w:t>of</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this</w:t>
      </w:r>
      <w:proofErr w:type="spellEnd"/>
      <w:r w:rsidRPr="00C138DE">
        <w:rPr>
          <w:rFonts w:eastAsia="Times New Roman" w:cs="Times New Roman"/>
          <w:lang w:val="id-ID"/>
        </w:rPr>
        <w:t xml:space="preserve"> study, </w:t>
      </w:r>
      <w:proofErr w:type="spellStart"/>
      <w:r w:rsidRPr="00C138DE">
        <w:rPr>
          <w:rFonts w:eastAsia="Times New Roman" w:cs="Times New Roman"/>
          <w:lang w:val="id-ID"/>
        </w:rPr>
        <w:t>which</w:t>
      </w:r>
      <w:proofErr w:type="spellEnd"/>
      <w:r w:rsidRPr="00C138DE">
        <w:rPr>
          <w:rFonts w:eastAsia="Times New Roman" w:cs="Times New Roman"/>
          <w:lang w:val="id-ID"/>
        </w:rPr>
        <w:t xml:space="preserve"> </w:t>
      </w:r>
      <w:proofErr w:type="spellStart"/>
      <w:r w:rsidRPr="00C138DE">
        <w:rPr>
          <w:rFonts w:eastAsia="Times New Roman" w:cs="Times New Roman"/>
          <w:lang w:val="id-ID"/>
        </w:rPr>
        <w:t>omitted</w:t>
      </w:r>
      <w:proofErr w:type="spellEnd"/>
      <w:r w:rsidRPr="00C138DE">
        <w:rPr>
          <w:rFonts w:eastAsia="Times New Roman" w:cs="Times New Roman"/>
          <w:lang w:val="id-ID"/>
        </w:rPr>
        <w:t xml:space="preserve"> </w:t>
      </w:r>
      <w:proofErr w:type="spellStart"/>
      <w:r w:rsidRPr="00C138DE">
        <w:rPr>
          <w:rFonts w:eastAsia="Times New Roman" w:cs="Times New Roman"/>
          <w:lang w:val="id-ID"/>
        </w:rPr>
        <w:t>inflammatory</w:t>
      </w:r>
      <w:proofErr w:type="spellEnd"/>
      <w:r w:rsidRPr="00C138DE">
        <w:rPr>
          <w:rFonts w:eastAsia="Times New Roman" w:cs="Times New Roman"/>
          <w:lang w:val="id-ID"/>
        </w:rPr>
        <w:t xml:space="preserve"> </w:t>
      </w:r>
      <w:proofErr w:type="spellStart"/>
      <w:r w:rsidRPr="00C138DE">
        <w:rPr>
          <w:rFonts w:eastAsia="Times New Roman" w:cs="Times New Roman"/>
          <w:lang w:val="id-ID"/>
        </w:rPr>
        <w:t>biomarker</w:t>
      </w:r>
      <w:proofErr w:type="spellEnd"/>
      <w:r w:rsidRPr="00C138DE">
        <w:rPr>
          <w:rFonts w:eastAsia="Times New Roman" w:cs="Times New Roman"/>
          <w:lang w:val="id-ID"/>
        </w:rPr>
        <w:t xml:space="preserve"> </w:t>
      </w:r>
      <w:proofErr w:type="spellStart"/>
      <w:r w:rsidRPr="00C138DE">
        <w:rPr>
          <w:rFonts w:eastAsia="Times New Roman" w:cs="Times New Roman"/>
          <w:lang w:val="id-ID"/>
        </w:rPr>
        <w:t>assays</w:t>
      </w:r>
      <w:proofErr w:type="spellEnd"/>
      <w:r w:rsidRPr="00C138DE">
        <w:rPr>
          <w:rFonts w:eastAsia="Times New Roman" w:cs="Times New Roman"/>
          <w:lang w:val="id-ID"/>
        </w:rPr>
        <w:t>.</w:t>
      </w:r>
    </w:p>
    <w:p w14:paraId="0771CA95" w14:textId="77777777" w:rsidR="00EF43EE" w:rsidRPr="00C138DE" w:rsidRDefault="00E24B88" w:rsidP="00E24B88">
      <w:pPr>
        <w:ind w:left="284" w:right="288" w:firstLine="720"/>
        <w:jc w:val="both"/>
        <w:rPr>
          <w:rFonts w:eastAsia="Times New Roman" w:cs="Times New Roman"/>
          <w:lang w:val="id-ID"/>
        </w:rPr>
      </w:pPr>
      <w:proofErr w:type="spellStart"/>
      <w:r w:rsidRPr="00C138DE">
        <w:rPr>
          <w:rFonts w:eastAsia="Times New Roman" w:cs="Times New Roman"/>
          <w:lang w:val="id-ID"/>
        </w:rPr>
        <w:t>These</w:t>
      </w:r>
      <w:proofErr w:type="spellEnd"/>
      <w:r w:rsidRPr="00C138DE">
        <w:rPr>
          <w:rFonts w:eastAsia="Times New Roman" w:cs="Times New Roman"/>
          <w:lang w:val="id-ID"/>
        </w:rPr>
        <w:t xml:space="preserve"> </w:t>
      </w:r>
      <w:proofErr w:type="spellStart"/>
      <w:r w:rsidRPr="00C138DE">
        <w:rPr>
          <w:rFonts w:eastAsia="Times New Roman" w:cs="Times New Roman"/>
          <w:lang w:val="id-ID"/>
        </w:rPr>
        <w:t>results</w:t>
      </w:r>
      <w:proofErr w:type="spellEnd"/>
      <w:r w:rsidRPr="00C138DE">
        <w:rPr>
          <w:rFonts w:eastAsia="Times New Roman" w:cs="Times New Roman"/>
          <w:lang w:val="id-ID"/>
        </w:rPr>
        <w:t xml:space="preserve"> </w:t>
      </w:r>
      <w:proofErr w:type="spellStart"/>
      <w:r w:rsidRPr="00C138DE">
        <w:rPr>
          <w:rFonts w:eastAsia="Times New Roman" w:cs="Times New Roman"/>
          <w:lang w:val="id-ID"/>
        </w:rPr>
        <w:t>deepen</w:t>
      </w:r>
      <w:proofErr w:type="spellEnd"/>
      <w:r w:rsidRPr="00C138DE">
        <w:rPr>
          <w:rFonts w:eastAsia="Times New Roman" w:cs="Times New Roman"/>
          <w:lang w:val="id-ID"/>
        </w:rPr>
        <w:t xml:space="preserve"> </w:t>
      </w:r>
      <w:proofErr w:type="spellStart"/>
      <w:r w:rsidRPr="00C138DE">
        <w:rPr>
          <w:rFonts w:eastAsia="Times New Roman" w:cs="Times New Roman"/>
          <w:lang w:val="id-ID"/>
        </w:rPr>
        <w:t>appreciation</w:t>
      </w:r>
      <w:proofErr w:type="spellEnd"/>
      <w:r w:rsidRPr="00C138DE">
        <w:rPr>
          <w:rFonts w:eastAsia="Times New Roman" w:cs="Times New Roman"/>
          <w:lang w:val="id-ID"/>
        </w:rPr>
        <w:t xml:space="preserve"> </w:t>
      </w:r>
      <w:proofErr w:type="spellStart"/>
      <w:r w:rsidRPr="00C138DE">
        <w:rPr>
          <w:rFonts w:eastAsia="Times New Roman" w:cs="Times New Roman"/>
          <w:lang w:val="id-ID"/>
        </w:rPr>
        <w:t>of</w:t>
      </w:r>
      <w:proofErr w:type="spellEnd"/>
      <w:r w:rsidRPr="00C138DE">
        <w:rPr>
          <w:rFonts w:eastAsia="Times New Roman" w:cs="Times New Roman"/>
          <w:lang w:val="id-ID"/>
        </w:rPr>
        <w:t xml:space="preserve"> </w:t>
      </w:r>
      <w:proofErr w:type="spellStart"/>
      <w:r w:rsidRPr="00C138DE">
        <w:rPr>
          <w:rFonts w:eastAsia="Times New Roman" w:cs="Times New Roman"/>
          <w:lang w:val="id-ID"/>
        </w:rPr>
        <w:t>what</w:t>
      </w:r>
      <w:proofErr w:type="spellEnd"/>
      <w:r w:rsidRPr="00C138DE">
        <w:rPr>
          <w:rFonts w:eastAsia="Times New Roman" w:cs="Times New Roman"/>
          <w:lang w:val="id-ID"/>
        </w:rPr>
        <w:t xml:space="preserve"> has </w:t>
      </w:r>
      <w:proofErr w:type="spellStart"/>
      <w:r w:rsidRPr="00C138DE">
        <w:rPr>
          <w:rFonts w:eastAsia="Times New Roman" w:cs="Times New Roman"/>
          <w:lang w:val="id-ID"/>
        </w:rPr>
        <w:t>been</w:t>
      </w:r>
      <w:proofErr w:type="spellEnd"/>
      <w:r w:rsidRPr="00C138DE">
        <w:rPr>
          <w:rFonts w:eastAsia="Times New Roman" w:cs="Times New Roman"/>
          <w:lang w:val="id-ID"/>
        </w:rPr>
        <w:t xml:space="preserve"> </w:t>
      </w:r>
      <w:proofErr w:type="spellStart"/>
      <w:r w:rsidRPr="00C138DE">
        <w:rPr>
          <w:rFonts w:eastAsia="Times New Roman" w:cs="Times New Roman"/>
          <w:lang w:val="id-ID"/>
        </w:rPr>
        <w:t>termed</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muscle</w:t>
      </w:r>
      <w:proofErr w:type="spellEnd"/>
      <w:r w:rsidRPr="00C138DE">
        <w:rPr>
          <w:rFonts w:eastAsia="Times New Roman" w:cs="Times New Roman"/>
          <w:lang w:val="id-ID"/>
        </w:rPr>
        <w:t>–</w:t>
      </w:r>
      <w:proofErr w:type="spellStart"/>
      <w:r w:rsidRPr="00C138DE">
        <w:rPr>
          <w:rFonts w:eastAsia="Times New Roman" w:cs="Times New Roman"/>
          <w:lang w:val="id-ID"/>
        </w:rPr>
        <w:t>brain</w:t>
      </w:r>
      <w:proofErr w:type="spellEnd"/>
      <w:r w:rsidRPr="00C138DE">
        <w:rPr>
          <w:rFonts w:eastAsia="Times New Roman" w:cs="Times New Roman"/>
          <w:lang w:val="id-ID"/>
        </w:rPr>
        <w:t xml:space="preserve"> </w:t>
      </w:r>
      <w:proofErr w:type="spellStart"/>
      <w:r w:rsidRPr="00C138DE">
        <w:rPr>
          <w:rFonts w:eastAsia="Times New Roman" w:cs="Times New Roman"/>
          <w:lang w:val="id-ID"/>
        </w:rPr>
        <w:t>axis</w:t>
      </w:r>
      <w:proofErr w:type="spellEnd"/>
      <w:r w:rsidRPr="00C138DE">
        <w:rPr>
          <w:rFonts w:eastAsia="Times New Roman" w:cs="Times New Roman"/>
          <w:lang w:val="id-ID"/>
        </w:rPr>
        <w:t xml:space="preserve">,” a </w:t>
      </w:r>
      <w:proofErr w:type="spellStart"/>
      <w:r w:rsidRPr="00C138DE">
        <w:rPr>
          <w:rFonts w:eastAsia="Times New Roman" w:cs="Times New Roman"/>
          <w:lang w:val="id-ID"/>
        </w:rPr>
        <w:t>conceptual</w:t>
      </w:r>
      <w:proofErr w:type="spellEnd"/>
      <w:r w:rsidRPr="00C138DE">
        <w:rPr>
          <w:rFonts w:eastAsia="Times New Roman" w:cs="Times New Roman"/>
          <w:lang w:val="id-ID"/>
        </w:rPr>
        <w:t xml:space="preserve"> model </w:t>
      </w:r>
      <w:proofErr w:type="spellStart"/>
      <w:r w:rsidRPr="00C138DE">
        <w:rPr>
          <w:rFonts w:eastAsia="Times New Roman" w:cs="Times New Roman"/>
          <w:lang w:val="id-ID"/>
        </w:rPr>
        <w:t>gaining</w:t>
      </w:r>
      <w:proofErr w:type="spellEnd"/>
      <w:r w:rsidRPr="00C138DE">
        <w:rPr>
          <w:rFonts w:eastAsia="Times New Roman" w:cs="Times New Roman"/>
          <w:lang w:val="id-ID"/>
        </w:rPr>
        <w:t xml:space="preserve"> </w:t>
      </w:r>
      <w:proofErr w:type="spellStart"/>
      <w:r w:rsidRPr="00C138DE">
        <w:rPr>
          <w:rFonts w:eastAsia="Times New Roman" w:cs="Times New Roman"/>
          <w:lang w:val="id-ID"/>
        </w:rPr>
        <w:t>traction</w:t>
      </w:r>
      <w:proofErr w:type="spellEnd"/>
      <w:r w:rsidRPr="00C138DE">
        <w:rPr>
          <w:rFonts w:eastAsia="Times New Roman" w:cs="Times New Roman"/>
          <w:lang w:val="id-ID"/>
        </w:rPr>
        <w:t xml:space="preserve"> in </w:t>
      </w:r>
      <w:proofErr w:type="spellStart"/>
      <w:r w:rsidRPr="00C138DE">
        <w:rPr>
          <w:rFonts w:eastAsia="Times New Roman" w:cs="Times New Roman"/>
          <w:lang w:val="id-ID"/>
        </w:rPr>
        <w:t>contemporary</w:t>
      </w:r>
      <w:proofErr w:type="spellEnd"/>
      <w:r w:rsidRPr="00C138DE">
        <w:rPr>
          <w:rFonts w:eastAsia="Times New Roman" w:cs="Times New Roman"/>
          <w:lang w:val="id-ID"/>
        </w:rPr>
        <w:t xml:space="preserve"> </w:t>
      </w:r>
      <w:proofErr w:type="spellStart"/>
      <w:r w:rsidRPr="00C138DE">
        <w:rPr>
          <w:rFonts w:eastAsia="Times New Roman" w:cs="Times New Roman"/>
          <w:lang w:val="id-ID"/>
        </w:rPr>
        <w:t>clinical</w:t>
      </w:r>
      <w:proofErr w:type="spellEnd"/>
      <w:r w:rsidRPr="00C138DE">
        <w:rPr>
          <w:rFonts w:eastAsia="Times New Roman" w:cs="Times New Roman"/>
          <w:lang w:val="id-ID"/>
        </w:rPr>
        <w:t xml:space="preserve"> </w:t>
      </w:r>
      <w:proofErr w:type="spellStart"/>
      <w:r w:rsidRPr="00C138DE">
        <w:rPr>
          <w:rFonts w:eastAsia="Times New Roman" w:cs="Times New Roman"/>
          <w:lang w:val="id-ID"/>
        </w:rPr>
        <w:t>discourse</w:t>
      </w:r>
      <w:proofErr w:type="spellEnd"/>
      <w:r w:rsidRPr="00C138DE">
        <w:rPr>
          <w:rFonts w:eastAsia="Times New Roman" w:cs="Times New Roman"/>
          <w:lang w:val="id-ID"/>
        </w:rPr>
        <w:t xml:space="preserve">. The </w:t>
      </w:r>
      <w:proofErr w:type="spellStart"/>
      <w:r w:rsidRPr="00C138DE">
        <w:rPr>
          <w:rFonts w:eastAsia="Times New Roman" w:cs="Times New Roman"/>
          <w:lang w:val="id-ID"/>
        </w:rPr>
        <w:t>biological</w:t>
      </w:r>
      <w:proofErr w:type="spellEnd"/>
      <w:r w:rsidRPr="00C138DE">
        <w:rPr>
          <w:rFonts w:eastAsia="Times New Roman" w:cs="Times New Roman"/>
          <w:lang w:val="id-ID"/>
        </w:rPr>
        <w:t xml:space="preserve"> </w:t>
      </w:r>
      <w:proofErr w:type="spellStart"/>
      <w:r w:rsidRPr="00C138DE">
        <w:rPr>
          <w:rFonts w:eastAsia="Times New Roman" w:cs="Times New Roman"/>
          <w:lang w:val="id-ID"/>
        </w:rPr>
        <w:t>credibility</w:t>
      </w:r>
      <w:proofErr w:type="spellEnd"/>
      <w:r w:rsidRPr="00C138DE">
        <w:rPr>
          <w:rFonts w:eastAsia="Times New Roman" w:cs="Times New Roman"/>
          <w:lang w:val="id-ID"/>
        </w:rPr>
        <w:t xml:space="preserve"> </w:t>
      </w:r>
      <w:proofErr w:type="spellStart"/>
      <w:r w:rsidRPr="00C138DE">
        <w:rPr>
          <w:rFonts w:eastAsia="Times New Roman" w:cs="Times New Roman"/>
          <w:lang w:val="id-ID"/>
        </w:rPr>
        <w:t>of</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this</w:t>
      </w:r>
      <w:proofErr w:type="spellEnd"/>
      <w:r w:rsidRPr="00C138DE">
        <w:rPr>
          <w:rFonts w:eastAsia="Times New Roman" w:cs="Times New Roman"/>
          <w:lang w:val="id-ID"/>
        </w:rPr>
        <w:t xml:space="preserve"> </w:t>
      </w:r>
      <w:proofErr w:type="spellStart"/>
      <w:r w:rsidRPr="00C138DE">
        <w:rPr>
          <w:rFonts w:eastAsia="Times New Roman" w:cs="Times New Roman"/>
          <w:lang w:val="id-ID"/>
        </w:rPr>
        <w:t>axis</w:t>
      </w:r>
      <w:proofErr w:type="spellEnd"/>
      <w:r w:rsidRPr="00C138DE">
        <w:rPr>
          <w:rFonts w:eastAsia="Times New Roman" w:cs="Times New Roman"/>
          <w:lang w:val="id-ID"/>
        </w:rPr>
        <w:t xml:space="preserve"> </w:t>
      </w:r>
      <w:proofErr w:type="spellStart"/>
      <w:r w:rsidRPr="00C138DE">
        <w:rPr>
          <w:rFonts w:eastAsia="Times New Roman" w:cs="Times New Roman"/>
          <w:lang w:val="id-ID"/>
        </w:rPr>
        <w:t>rests</w:t>
      </w:r>
      <w:proofErr w:type="spellEnd"/>
      <w:r w:rsidRPr="00C138DE">
        <w:rPr>
          <w:rFonts w:eastAsia="Times New Roman" w:cs="Times New Roman"/>
          <w:lang w:val="id-ID"/>
        </w:rPr>
        <w:t xml:space="preserve"> </w:t>
      </w:r>
      <w:proofErr w:type="spellStart"/>
      <w:r w:rsidRPr="00C138DE">
        <w:rPr>
          <w:rFonts w:eastAsia="Times New Roman" w:cs="Times New Roman"/>
          <w:lang w:val="id-ID"/>
        </w:rPr>
        <w:t>on</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recognition</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that</w:t>
      </w:r>
      <w:proofErr w:type="spellEnd"/>
      <w:r w:rsidRPr="00C138DE">
        <w:rPr>
          <w:rFonts w:eastAsia="Times New Roman" w:cs="Times New Roman"/>
          <w:lang w:val="id-ID"/>
        </w:rPr>
        <w:t xml:space="preserve"> </w:t>
      </w:r>
      <w:proofErr w:type="spellStart"/>
      <w:r w:rsidRPr="00C138DE">
        <w:rPr>
          <w:rFonts w:eastAsia="Times New Roman" w:cs="Times New Roman"/>
          <w:lang w:val="id-ID"/>
        </w:rPr>
        <w:t>sarcopenia</w:t>
      </w:r>
      <w:proofErr w:type="spellEnd"/>
      <w:r w:rsidRPr="00C138DE">
        <w:rPr>
          <w:rFonts w:eastAsia="Times New Roman" w:cs="Times New Roman"/>
          <w:lang w:val="id-ID"/>
        </w:rPr>
        <w:t xml:space="preserve"> </w:t>
      </w:r>
      <w:proofErr w:type="spellStart"/>
      <w:r w:rsidRPr="00C138DE">
        <w:rPr>
          <w:rFonts w:eastAsia="Times New Roman" w:cs="Times New Roman"/>
          <w:lang w:val="id-ID"/>
        </w:rPr>
        <w:t>and</w:t>
      </w:r>
      <w:proofErr w:type="spellEnd"/>
      <w:r w:rsidRPr="00C138DE">
        <w:rPr>
          <w:rFonts w:eastAsia="Times New Roman" w:cs="Times New Roman"/>
          <w:lang w:val="id-ID"/>
        </w:rPr>
        <w:t xml:space="preserve"> </w:t>
      </w:r>
      <w:proofErr w:type="spellStart"/>
      <w:r w:rsidRPr="00C138DE">
        <w:rPr>
          <w:rFonts w:eastAsia="Times New Roman" w:cs="Times New Roman"/>
          <w:lang w:val="id-ID"/>
        </w:rPr>
        <w:t>cognitive</w:t>
      </w:r>
      <w:proofErr w:type="spellEnd"/>
      <w:r w:rsidRPr="00C138DE">
        <w:rPr>
          <w:rFonts w:eastAsia="Times New Roman" w:cs="Times New Roman"/>
          <w:lang w:val="id-ID"/>
        </w:rPr>
        <w:t xml:space="preserve"> </w:t>
      </w:r>
      <w:proofErr w:type="spellStart"/>
      <w:r w:rsidRPr="00C138DE">
        <w:rPr>
          <w:rFonts w:eastAsia="Times New Roman" w:cs="Times New Roman"/>
          <w:lang w:val="id-ID"/>
        </w:rPr>
        <w:t>frailty</w:t>
      </w:r>
      <w:proofErr w:type="spellEnd"/>
      <w:r w:rsidRPr="00C138DE">
        <w:rPr>
          <w:rFonts w:eastAsia="Times New Roman" w:cs="Times New Roman"/>
          <w:lang w:val="id-ID"/>
        </w:rPr>
        <w:t xml:space="preserve"> </w:t>
      </w:r>
      <w:proofErr w:type="spellStart"/>
      <w:r w:rsidRPr="00C138DE">
        <w:rPr>
          <w:rFonts w:eastAsia="Times New Roman" w:cs="Times New Roman"/>
          <w:lang w:val="id-ID"/>
        </w:rPr>
        <w:t>share</w:t>
      </w:r>
      <w:proofErr w:type="spellEnd"/>
      <w:r w:rsidRPr="00C138DE">
        <w:rPr>
          <w:rFonts w:eastAsia="Times New Roman" w:cs="Times New Roman"/>
          <w:lang w:val="id-ID"/>
        </w:rPr>
        <w:t xml:space="preserve"> </w:t>
      </w:r>
      <w:proofErr w:type="spellStart"/>
      <w:r w:rsidRPr="00C138DE">
        <w:rPr>
          <w:rFonts w:eastAsia="Times New Roman" w:cs="Times New Roman"/>
          <w:lang w:val="id-ID"/>
        </w:rPr>
        <w:t>intersecting</w:t>
      </w:r>
      <w:proofErr w:type="spellEnd"/>
      <w:r w:rsidRPr="00C138DE">
        <w:rPr>
          <w:rFonts w:eastAsia="Times New Roman" w:cs="Times New Roman"/>
          <w:lang w:val="id-ID"/>
        </w:rPr>
        <w:t xml:space="preserve"> </w:t>
      </w:r>
      <w:proofErr w:type="spellStart"/>
      <w:r w:rsidRPr="00C138DE">
        <w:rPr>
          <w:rFonts w:eastAsia="Times New Roman" w:cs="Times New Roman"/>
          <w:lang w:val="id-ID"/>
        </w:rPr>
        <w:t>pathogenic</w:t>
      </w:r>
      <w:proofErr w:type="spellEnd"/>
      <w:r w:rsidRPr="00C138DE">
        <w:rPr>
          <w:rFonts w:eastAsia="Times New Roman" w:cs="Times New Roman"/>
          <w:lang w:val="id-ID"/>
        </w:rPr>
        <w:t xml:space="preserve"> </w:t>
      </w:r>
      <w:proofErr w:type="spellStart"/>
      <w:r w:rsidRPr="00C138DE">
        <w:rPr>
          <w:rFonts w:eastAsia="Times New Roman" w:cs="Times New Roman"/>
          <w:lang w:val="id-ID"/>
        </w:rPr>
        <w:t>cascades</w:t>
      </w:r>
      <w:proofErr w:type="spellEnd"/>
      <w:r w:rsidRPr="00C138DE">
        <w:rPr>
          <w:rFonts w:eastAsia="Times New Roman" w:cs="Times New Roman"/>
          <w:lang w:val="id-ID"/>
        </w:rPr>
        <w:t xml:space="preserve"> </w:t>
      </w:r>
      <w:hyperlink w:anchor="Xenos" w:history="1">
        <w:r w:rsidRPr="00C138DE">
          <w:rPr>
            <w:rStyle w:val="Hyperlink"/>
            <w:rFonts w:eastAsia="Times New Roman" w:cs="Times New Roman"/>
            <w:u w:val="none"/>
            <w:lang w:val="id-ID"/>
          </w:rPr>
          <w:t>(</w:t>
        </w:r>
        <w:proofErr w:type="spellStart"/>
        <w:r w:rsidRPr="00C138DE">
          <w:rPr>
            <w:rStyle w:val="Hyperlink"/>
            <w:rFonts w:eastAsia="Times New Roman" w:cs="Times New Roman"/>
            <w:u w:val="none"/>
            <w:lang w:val="id-ID"/>
          </w:rPr>
          <w:t>Xenos</w:t>
        </w:r>
        <w:proofErr w:type="spellEnd"/>
        <w:r w:rsidRPr="00C138DE">
          <w:rPr>
            <w:rStyle w:val="Hyperlink"/>
            <w:rFonts w:eastAsia="Times New Roman" w:cs="Times New Roman"/>
            <w:u w:val="none"/>
            <w:lang w:val="id-ID"/>
          </w:rPr>
          <w:t xml:space="preserve"> </w:t>
        </w:r>
        <w:proofErr w:type="spellStart"/>
        <w:r w:rsidRPr="00C138DE">
          <w:rPr>
            <w:rStyle w:val="Hyperlink"/>
            <w:rFonts w:eastAsia="Times New Roman" w:cs="Times New Roman"/>
            <w:u w:val="none"/>
            <w:lang w:val="id-ID"/>
          </w:rPr>
          <w:t>et</w:t>
        </w:r>
        <w:proofErr w:type="spellEnd"/>
        <w:r w:rsidRPr="00C138DE">
          <w:rPr>
            <w:rStyle w:val="Hyperlink"/>
            <w:rFonts w:eastAsia="Times New Roman" w:cs="Times New Roman"/>
            <w:u w:val="none"/>
            <w:lang w:val="id-ID"/>
          </w:rPr>
          <w:t xml:space="preserve"> </w:t>
        </w:r>
        <w:proofErr w:type="spellStart"/>
        <w:r w:rsidRPr="00C138DE">
          <w:rPr>
            <w:rStyle w:val="Hyperlink"/>
            <w:rFonts w:eastAsia="Times New Roman" w:cs="Times New Roman"/>
            <w:u w:val="none"/>
            <w:lang w:val="id-ID"/>
          </w:rPr>
          <w:t>al.</w:t>
        </w:r>
        <w:proofErr w:type="spellEnd"/>
        <w:r w:rsidRPr="00C138DE">
          <w:rPr>
            <w:rStyle w:val="Hyperlink"/>
            <w:rFonts w:eastAsia="Times New Roman" w:cs="Times New Roman"/>
            <w:u w:val="none"/>
            <w:lang w:val="id-ID"/>
          </w:rPr>
          <w:t>, 2025)</w:t>
        </w:r>
      </w:hyperlink>
      <w:r w:rsidRPr="00C138DE">
        <w:rPr>
          <w:rFonts w:eastAsia="Times New Roman" w:cs="Times New Roman"/>
          <w:lang w:val="id-ID"/>
        </w:rPr>
        <w:t xml:space="preserve">. In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diabetic</w:t>
      </w:r>
      <w:proofErr w:type="spellEnd"/>
      <w:r w:rsidRPr="00C138DE">
        <w:rPr>
          <w:rFonts w:eastAsia="Times New Roman" w:cs="Times New Roman"/>
          <w:lang w:val="id-ID"/>
        </w:rPr>
        <w:t xml:space="preserve"> milieu, </w:t>
      </w:r>
      <w:proofErr w:type="spellStart"/>
      <w:r w:rsidRPr="00C138DE">
        <w:rPr>
          <w:rFonts w:eastAsia="Times New Roman" w:cs="Times New Roman"/>
          <w:lang w:val="id-ID"/>
        </w:rPr>
        <w:t>chronic</w:t>
      </w:r>
      <w:proofErr w:type="spellEnd"/>
      <w:r w:rsidRPr="00C138DE">
        <w:rPr>
          <w:rFonts w:eastAsia="Times New Roman" w:cs="Times New Roman"/>
          <w:lang w:val="id-ID"/>
        </w:rPr>
        <w:t xml:space="preserve"> </w:t>
      </w:r>
      <w:proofErr w:type="spellStart"/>
      <w:r w:rsidRPr="00C138DE">
        <w:rPr>
          <w:rFonts w:eastAsia="Times New Roman" w:cs="Times New Roman"/>
          <w:lang w:val="id-ID"/>
        </w:rPr>
        <w:t>hyperglycemia</w:t>
      </w:r>
      <w:proofErr w:type="spellEnd"/>
      <w:r w:rsidRPr="00C138DE">
        <w:rPr>
          <w:rFonts w:eastAsia="Times New Roman" w:cs="Times New Roman"/>
          <w:lang w:val="id-ID"/>
        </w:rPr>
        <w:t xml:space="preserve"> </w:t>
      </w:r>
      <w:proofErr w:type="spellStart"/>
      <w:r w:rsidRPr="00C138DE">
        <w:rPr>
          <w:rFonts w:eastAsia="Times New Roman" w:cs="Times New Roman"/>
          <w:lang w:val="id-ID"/>
        </w:rPr>
        <w:t>fuels</w:t>
      </w:r>
      <w:proofErr w:type="spellEnd"/>
      <w:r w:rsidRPr="00C138DE">
        <w:rPr>
          <w:rFonts w:eastAsia="Times New Roman" w:cs="Times New Roman"/>
          <w:lang w:val="id-ID"/>
        </w:rPr>
        <w:t xml:space="preserve"> a </w:t>
      </w:r>
      <w:proofErr w:type="spellStart"/>
      <w:r w:rsidRPr="00C138DE">
        <w:rPr>
          <w:rFonts w:eastAsia="Times New Roman" w:cs="Times New Roman"/>
          <w:lang w:val="id-ID"/>
        </w:rPr>
        <w:t>sustained</w:t>
      </w:r>
      <w:proofErr w:type="spellEnd"/>
      <w:r w:rsidRPr="00C138DE">
        <w:rPr>
          <w:rFonts w:eastAsia="Times New Roman" w:cs="Times New Roman"/>
          <w:lang w:val="id-ID"/>
        </w:rPr>
        <w:t xml:space="preserve"> pro-</w:t>
      </w:r>
      <w:proofErr w:type="spellStart"/>
      <w:r w:rsidRPr="00C138DE">
        <w:rPr>
          <w:rFonts w:eastAsia="Times New Roman" w:cs="Times New Roman"/>
          <w:lang w:val="id-ID"/>
        </w:rPr>
        <w:t>inflammatory</w:t>
      </w:r>
      <w:proofErr w:type="spellEnd"/>
      <w:r w:rsidRPr="00C138DE">
        <w:rPr>
          <w:rFonts w:eastAsia="Times New Roman" w:cs="Times New Roman"/>
          <w:lang w:val="id-ID"/>
        </w:rPr>
        <w:t xml:space="preserve"> </w:t>
      </w:r>
      <w:proofErr w:type="spellStart"/>
      <w:r w:rsidRPr="00C138DE">
        <w:rPr>
          <w:rFonts w:eastAsia="Times New Roman" w:cs="Times New Roman"/>
          <w:lang w:val="id-ID"/>
        </w:rPr>
        <w:t>state</w:t>
      </w:r>
      <w:proofErr w:type="spellEnd"/>
      <w:r w:rsidRPr="00C138DE">
        <w:rPr>
          <w:rFonts w:eastAsia="Times New Roman" w:cs="Times New Roman"/>
          <w:lang w:val="id-ID"/>
        </w:rPr>
        <w:t xml:space="preserve"> </w:t>
      </w:r>
      <w:proofErr w:type="spellStart"/>
      <w:r w:rsidRPr="00C138DE">
        <w:rPr>
          <w:rFonts w:eastAsia="Times New Roman" w:cs="Times New Roman"/>
          <w:lang w:val="id-ID"/>
        </w:rPr>
        <w:t>typified</w:t>
      </w:r>
      <w:proofErr w:type="spellEnd"/>
      <w:r w:rsidRPr="00C138DE">
        <w:rPr>
          <w:rFonts w:eastAsia="Times New Roman" w:cs="Times New Roman"/>
          <w:lang w:val="id-ID"/>
        </w:rPr>
        <w:t xml:space="preserve"> </w:t>
      </w:r>
      <w:proofErr w:type="spellStart"/>
      <w:r w:rsidRPr="00C138DE">
        <w:rPr>
          <w:rFonts w:eastAsia="Times New Roman" w:cs="Times New Roman"/>
          <w:lang w:val="id-ID"/>
        </w:rPr>
        <w:t>by</w:t>
      </w:r>
      <w:proofErr w:type="spellEnd"/>
      <w:r w:rsidRPr="00C138DE">
        <w:rPr>
          <w:rFonts w:eastAsia="Times New Roman" w:cs="Times New Roman"/>
          <w:lang w:val="id-ID"/>
        </w:rPr>
        <w:t xml:space="preserve"> </w:t>
      </w:r>
      <w:proofErr w:type="spellStart"/>
      <w:r w:rsidRPr="00C138DE">
        <w:rPr>
          <w:rFonts w:eastAsia="Times New Roman" w:cs="Times New Roman"/>
          <w:lang w:val="id-ID"/>
        </w:rPr>
        <w:t>overexpression</w:t>
      </w:r>
      <w:proofErr w:type="spellEnd"/>
      <w:r w:rsidRPr="00C138DE">
        <w:rPr>
          <w:rFonts w:eastAsia="Times New Roman" w:cs="Times New Roman"/>
          <w:lang w:val="id-ID"/>
        </w:rPr>
        <w:t xml:space="preserve"> </w:t>
      </w:r>
      <w:proofErr w:type="spellStart"/>
      <w:r w:rsidRPr="00C138DE">
        <w:rPr>
          <w:rFonts w:eastAsia="Times New Roman" w:cs="Times New Roman"/>
          <w:lang w:val="id-ID"/>
        </w:rPr>
        <w:t>of</w:t>
      </w:r>
      <w:proofErr w:type="spellEnd"/>
      <w:r w:rsidRPr="00C138DE">
        <w:rPr>
          <w:rFonts w:eastAsia="Times New Roman" w:cs="Times New Roman"/>
          <w:lang w:val="id-ID"/>
        </w:rPr>
        <w:t xml:space="preserve"> IL-6 </w:t>
      </w:r>
      <w:proofErr w:type="spellStart"/>
      <w:r w:rsidRPr="00C138DE">
        <w:rPr>
          <w:rFonts w:eastAsia="Times New Roman" w:cs="Times New Roman"/>
          <w:lang w:val="id-ID"/>
        </w:rPr>
        <w:t>and</w:t>
      </w:r>
      <w:proofErr w:type="spellEnd"/>
      <w:r w:rsidRPr="00C138DE">
        <w:rPr>
          <w:rFonts w:eastAsia="Times New Roman" w:cs="Times New Roman"/>
          <w:lang w:val="id-ID"/>
        </w:rPr>
        <w:t xml:space="preserve"> TNF-α, </w:t>
      </w:r>
      <w:proofErr w:type="spellStart"/>
      <w:r w:rsidRPr="00C138DE">
        <w:rPr>
          <w:rFonts w:eastAsia="Times New Roman" w:cs="Times New Roman"/>
          <w:lang w:val="id-ID"/>
        </w:rPr>
        <w:t>cytokines</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that</w:t>
      </w:r>
      <w:proofErr w:type="spellEnd"/>
      <w:r w:rsidRPr="00C138DE">
        <w:rPr>
          <w:rFonts w:eastAsia="Times New Roman" w:cs="Times New Roman"/>
          <w:lang w:val="id-ID"/>
        </w:rPr>
        <w:t xml:space="preserve"> </w:t>
      </w:r>
      <w:proofErr w:type="spellStart"/>
      <w:r w:rsidRPr="00C138DE">
        <w:rPr>
          <w:rFonts w:eastAsia="Times New Roman" w:cs="Times New Roman"/>
          <w:lang w:val="id-ID"/>
        </w:rPr>
        <w:t>exert</w:t>
      </w:r>
      <w:proofErr w:type="spellEnd"/>
      <w:r w:rsidRPr="00C138DE">
        <w:rPr>
          <w:rFonts w:eastAsia="Times New Roman" w:cs="Times New Roman"/>
          <w:lang w:val="id-ID"/>
        </w:rPr>
        <w:t xml:space="preserve"> </w:t>
      </w:r>
      <w:proofErr w:type="spellStart"/>
      <w:r w:rsidRPr="00C138DE">
        <w:rPr>
          <w:rFonts w:eastAsia="Times New Roman" w:cs="Times New Roman"/>
          <w:lang w:val="id-ID"/>
        </w:rPr>
        <w:t>catabolic</w:t>
      </w:r>
      <w:proofErr w:type="spellEnd"/>
      <w:r w:rsidRPr="00C138DE">
        <w:rPr>
          <w:rFonts w:eastAsia="Times New Roman" w:cs="Times New Roman"/>
          <w:lang w:val="id-ID"/>
        </w:rPr>
        <w:t xml:space="preserve"> </w:t>
      </w:r>
      <w:proofErr w:type="spellStart"/>
      <w:r w:rsidRPr="00C138DE">
        <w:rPr>
          <w:rFonts w:eastAsia="Times New Roman" w:cs="Times New Roman"/>
          <w:lang w:val="id-ID"/>
        </w:rPr>
        <w:t>effects</w:t>
      </w:r>
      <w:proofErr w:type="spellEnd"/>
      <w:r w:rsidRPr="00C138DE">
        <w:rPr>
          <w:rFonts w:eastAsia="Times New Roman" w:cs="Times New Roman"/>
          <w:lang w:val="id-ID"/>
        </w:rPr>
        <w:t xml:space="preserve"> </w:t>
      </w:r>
      <w:proofErr w:type="spellStart"/>
      <w:r w:rsidRPr="00C138DE">
        <w:rPr>
          <w:rFonts w:eastAsia="Times New Roman" w:cs="Times New Roman"/>
          <w:lang w:val="id-ID"/>
        </w:rPr>
        <w:t>on</w:t>
      </w:r>
      <w:proofErr w:type="spellEnd"/>
      <w:r w:rsidRPr="00C138DE">
        <w:rPr>
          <w:rFonts w:eastAsia="Times New Roman" w:cs="Times New Roman"/>
          <w:lang w:val="id-ID"/>
        </w:rPr>
        <w:t xml:space="preserve"> </w:t>
      </w:r>
      <w:proofErr w:type="spellStart"/>
      <w:r w:rsidRPr="00C138DE">
        <w:rPr>
          <w:rFonts w:eastAsia="Times New Roman" w:cs="Times New Roman"/>
          <w:lang w:val="id-ID"/>
        </w:rPr>
        <w:t>striated</w:t>
      </w:r>
      <w:proofErr w:type="spellEnd"/>
      <w:r w:rsidRPr="00C138DE">
        <w:rPr>
          <w:rFonts w:eastAsia="Times New Roman" w:cs="Times New Roman"/>
          <w:lang w:val="id-ID"/>
        </w:rPr>
        <w:t xml:space="preserve"> </w:t>
      </w:r>
      <w:proofErr w:type="spellStart"/>
      <w:r w:rsidRPr="00C138DE">
        <w:rPr>
          <w:rFonts w:eastAsia="Times New Roman" w:cs="Times New Roman"/>
          <w:lang w:val="id-ID"/>
        </w:rPr>
        <w:t>muscle</w:t>
      </w:r>
      <w:proofErr w:type="spellEnd"/>
      <w:r w:rsidRPr="00C138DE">
        <w:rPr>
          <w:rFonts w:eastAsia="Times New Roman" w:cs="Times New Roman"/>
          <w:lang w:val="id-ID"/>
        </w:rPr>
        <w:t xml:space="preserve"> </w:t>
      </w:r>
      <w:proofErr w:type="spellStart"/>
      <w:r w:rsidRPr="00C138DE">
        <w:rPr>
          <w:rFonts w:eastAsia="Times New Roman" w:cs="Times New Roman"/>
          <w:lang w:val="id-ID"/>
        </w:rPr>
        <w:t>while</w:t>
      </w:r>
      <w:proofErr w:type="spellEnd"/>
      <w:r w:rsidRPr="00C138DE">
        <w:rPr>
          <w:rFonts w:eastAsia="Times New Roman" w:cs="Times New Roman"/>
          <w:lang w:val="id-ID"/>
        </w:rPr>
        <w:t xml:space="preserve"> </w:t>
      </w:r>
      <w:proofErr w:type="spellStart"/>
      <w:r w:rsidRPr="00C138DE">
        <w:rPr>
          <w:rFonts w:eastAsia="Times New Roman" w:cs="Times New Roman"/>
          <w:lang w:val="id-ID"/>
        </w:rPr>
        <w:t>simultaneously</w:t>
      </w:r>
      <w:proofErr w:type="spellEnd"/>
      <w:r w:rsidRPr="00C138DE">
        <w:rPr>
          <w:rFonts w:eastAsia="Times New Roman" w:cs="Times New Roman"/>
          <w:lang w:val="id-ID"/>
        </w:rPr>
        <w:t xml:space="preserve"> </w:t>
      </w:r>
      <w:proofErr w:type="spellStart"/>
      <w:r w:rsidRPr="00C138DE">
        <w:rPr>
          <w:rFonts w:eastAsia="Times New Roman" w:cs="Times New Roman"/>
          <w:lang w:val="id-ID"/>
        </w:rPr>
        <w:t>injuring</w:t>
      </w:r>
      <w:proofErr w:type="spellEnd"/>
      <w:r w:rsidRPr="00C138DE">
        <w:rPr>
          <w:rFonts w:eastAsia="Times New Roman" w:cs="Times New Roman"/>
          <w:lang w:val="id-ID"/>
        </w:rPr>
        <w:t xml:space="preserve"> </w:t>
      </w:r>
      <w:proofErr w:type="spellStart"/>
      <w:r w:rsidRPr="00C138DE">
        <w:rPr>
          <w:rFonts w:eastAsia="Times New Roman" w:cs="Times New Roman"/>
          <w:lang w:val="id-ID"/>
        </w:rPr>
        <w:t>neuronal</w:t>
      </w:r>
      <w:proofErr w:type="spellEnd"/>
      <w:r w:rsidRPr="00C138DE">
        <w:rPr>
          <w:rFonts w:eastAsia="Times New Roman" w:cs="Times New Roman"/>
          <w:lang w:val="id-ID"/>
        </w:rPr>
        <w:t xml:space="preserve"> </w:t>
      </w:r>
      <w:proofErr w:type="spellStart"/>
      <w:r w:rsidRPr="00C138DE">
        <w:rPr>
          <w:rFonts w:eastAsia="Times New Roman" w:cs="Times New Roman"/>
          <w:lang w:val="id-ID"/>
        </w:rPr>
        <w:t>populations</w:t>
      </w:r>
      <w:proofErr w:type="spellEnd"/>
      <w:r w:rsidRPr="00C138DE">
        <w:rPr>
          <w:rFonts w:eastAsia="Times New Roman" w:cs="Times New Roman"/>
          <w:lang w:val="id-ID"/>
        </w:rPr>
        <w:t xml:space="preserve"> </w:t>
      </w:r>
      <w:hyperlink w:anchor="Pellegrino" w:history="1">
        <w:r w:rsidRPr="00C138DE">
          <w:rPr>
            <w:rStyle w:val="Hyperlink"/>
            <w:rFonts w:eastAsia="Times New Roman" w:cs="Times New Roman"/>
            <w:u w:val="none"/>
            <w:lang w:val="id-ID"/>
          </w:rPr>
          <w:t>(</w:t>
        </w:r>
        <w:proofErr w:type="spellStart"/>
        <w:r w:rsidRPr="00C138DE">
          <w:rPr>
            <w:rStyle w:val="Hyperlink"/>
            <w:rFonts w:eastAsia="Times New Roman" w:cs="Times New Roman"/>
            <w:u w:val="none"/>
            <w:lang w:val="id-ID"/>
          </w:rPr>
          <w:t>Pellegrino</w:t>
        </w:r>
        <w:proofErr w:type="spellEnd"/>
        <w:r w:rsidRPr="00C138DE">
          <w:rPr>
            <w:rStyle w:val="Hyperlink"/>
            <w:rFonts w:eastAsia="Times New Roman" w:cs="Times New Roman"/>
            <w:u w:val="none"/>
            <w:lang w:val="id-ID"/>
          </w:rPr>
          <w:t xml:space="preserve"> </w:t>
        </w:r>
        <w:proofErr w:type="spellStart"/>
        <w:r w:rsidRPr="00C138DE">
          <w:rPr>
            <w:rStyle w:val="Hyperlink"/>
            <w:rFonts w:eastAsia="Times New Roman" w:cs="Times New Roman"/>
            <w:u w:val="none"/>
            <w:lang w:val="id-ID"/>
          </w:rPr>
          <w:t>et</w:t>
        </w:r>
        <w:proofErr w:type="spellEnd"/>
        <w:r w:rsidRPr="00C138DE">
          <w:rPr>
            <w:rStyle w:val="Hyperlink"/>
            <w:rFonts w:eastAsia="Times New Roman" w:cs="Times New Roman"/>
            <w:u w:val="none"/>
            <w:lang w:val="id-ID"/>
          </w:rPr>
          <w:t xml:space="preserve"> </w:t>
        </w:r>
        <w:proofErr w:type="spellStart"/>
        <w:r w:rsidRPr="00C138DE">
          <w:rPr>
            <w:rStyle w:val="Hyperlink"/>
            <w:rFonts w:eastAsia="Times New Roman" w:cs="Times New Roman"/>
            <w:u w:val="none"/>
            <w:lang w:val="id-ID"/>
          </w:rPr>
          <w:t>al.</w:t>
        </w:r>
        <w:proofErr w:type="spellEnd"/>
        <w:r w:rsidRPr="00C138DE">
          <w:rPr>
            <w:rStyle w:val="Hyperlink"/>
            <w:rFonts w:eastAsia="Times New Roman" w:cs="Times New Roman"/>
            <w:u w:val="none"/>
            <w:lang w:val="id-ID"/>
          </w:rPr>
          <w:t>, 2024)</w:t>
        </w:r>
      </w:hyperlink>
      <w:r w:rsidRPr="00C138DE">
        <w:rPr>
          <w:rFonts w:eastAsia="Times New Roman" w:cs="Times New Roman"/>
          <w:lang w:val="id-ID"/>
        </w:rPr>
        <w:t xml:space="preserve">. </w:t>
      </w:r>
      <w:proofErr w:type="spellStart"/>
      <w:r w:rsidRPr="00C138DE">
        <w:rPr>
          <w:rFonts w:eastAsia="Times New Roman" w:cs="Times New Roman"/>
          <w:lang w:val="id-ID"/>
        </w:rPr>
        <w:t>Compounding</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this</w:t>
      </w:r>
      <w:proofErr w:type="spellEnd"/>
      <w:r w:rsidRPr="00C138DE">
        <w:rPr>
          <w:rFonts w:eastAsia="Times New Roman" w:cs="Times New Roman"/>
          <w:lang w:val="id-ID"/>
        </w:rPr>
        <w:t xml:space="preserve">, insulin </w:t>
      </w:r>
      <w:proofErr w:type="spellStart"/>
      <w:r w:rsidRPr="00C138DE">
        <w:rPr>
          <w:rFonts w:eastAsia="Times New Roman" w:cs="Times New Roman"/>
          <w:lang w:val="id-ID"/>
        </w:rPr>
        <w:t>resistance</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defining</w:t>
      </w:r>
      <w:proofErr w:type="spellEnd"/>
      <w:r w:rsidRPr="00C138DE">
        <w:rPr>
          <w:rFonts w:eastAsia="Times New Roman" w:cs="Times New Roman"/>
          <w:lang w:val="id-ID"/>
        </w:rPr>
        <w:t xml:space="preserve"> </w:t>
      </w:r>
      <w:proofErr w:type="spellStart"/>
      <w:r w:rsidRPr="00C138DE">
        <w:rPr>
          <w:rFonts w:eastAsia="Times New Roman" w:cs="Times New Roman"/>
          <w:lang w:val="id-ID"/>
        </w:rPr>
        <w:t>metabolic</w:t>
      </w:r>
      <w:proofErr w:type="spellEnd"/>
      <w:r w:rsidRPr="00C138DE">
        <w:rPr>
          <w:rFonts w:eastAsia="Times New Roman" w:cs="Times New Roman"/>
          <w:lang w:val="id-ID"/>
        </w:rPr>
        <w:t xml:space="preserve"> </w:t>
      </w:r>
      <w:proofErr w:type="spellStart"/>
      <w:r w:rsidRPr="00C138DE">
        <w:rPr>
          <w:rFonts w:eastAsia="Times New Roman" w:cs="Times New Roman"/>
          <w:lang w:val="id-ID"/>
        </w:rPr>
        <w:t>lesion</w:t>
      </w:r>
      <w:proofErr w:type="spellEnd"/>
      <w:r w:rsidRPr="00C138DE">
        <w:rPr>
          <w:rFonts w:eastAsia="Times New Roman" w:cs="Times New Roman"/>
          <w:lang w:val="id-ID"/>
        </w:rPr>
        <w:t xml:space="preserve"> </w:t>
      </w:r>
      <w:proofErr w:type="spellStart"/>
      <w:r w:rsidRPr="00C138DE">
        <w:rPr>
          <w:rFonts w:eastAsia="Times New Roman" w:cs="Times New Roman"/>
          <w:lang w:val="id-ID"/>
        </w:rPr>
        <w:t>of</w:t>
      </w:r>
      <w:proofErr w:type="spellEnd"/>
      <w:r w:rsidRPr="00C138DE">
        <w:rPr>
          <w:rFonts w:eastAsia="Times New Roman" w:cs="Times New Roman"/>
          <w:lang w:val="id-ID"/>
        </w:rPr>
        <w:t xml:space="preserve"> </w:t>
      </w:r>
      <w:proofErr w:type="spellStart"/>
      <w:r w:rsidRPr="00C138DE">
        <w:rPr>
          <w:rFonts w:eastAsia="Times New Roman" w:cs="Times New Roman"/>
          <w:lang w:val="id-ID"/>
        </w:rPr>
        <w:t>type</w:t>
      </w:r>
      <w:proofErr w:type="spellEnd"/>
      <w:r w:rsidRPr="00C138DE">
        <w:rPr>
          <w:rFonts w:eastAsia="Times New Roman" w:cs="Times New Roman"/>
          <w:lang w:val="id-ID"/>
        </w:rPr>
        <w:t xml:space="preserve"> 2 diabetes </w:t>
      </w:r>
      <w:proofErr w:type="spellStart"/>
      <w:r w:rsidRPr="00C138DE">
        <w:rPr>
          <w:rFonts w:eastAsia="Times New Roman" w:cs="Times New Roman"/>
          <w:lang w:val="id-ID"/>
        </w:rPr>
        <w:t>mellitus</w:t>
      </w:r>
      <w:proofErr w:type="spellEnd"/>
      <w:r w:rsidRPr="00C138DE">
        <w:rPr>
          <w:rFonts w:eastAsia="Times New Roman" w:cs="Times New Roman"/>
          <w:lang w:val="id-ID"/>
        </w:rPr>
        <w:t xml:space="preserve">, </w:t>
      </w:r>
      <w:proofErr w:type="spellStart"/>
      <w:r w:rsidRPr="00C138DE">
        <w:rPr>
          <w:rFonts w:eastAsia="Times New Roman" w:cs="Times New Roman"/>
          <w:lang w:val="id-ID"/>
        </w:rPr>
        <w:t>disrupts</w:t>
      </w:r>
      <w:proofErr w:type="spellEnd"/>
      <w:r w:rsidRPr="00C138DE">
        <w:rPr>
          <w:rFonts w:eastAsia="Times New Roman" w:cs="Times New Roman"/>
          <w:lang w:val="id-ID"/>
        </w:rPr>
        <w:t xml:space="preserve"> </w:t>
      </w:r>
      <w:proofErr w:type="spellStart"/>
      <w:r w:rsidRPr="00C138DE">
        <w:rPr>
          <w:rFonts w:eastAsia="Times New Roman" w:cs="Times New Roman"/>
          <w:lang w:val="id-ID"/>
        </w:rPr>
        <w:t>central</w:t>
      </w:r>
      <w:proofErr w:type="spellEnd"/>
      <w:r w:rsidRPr="00C138DE">
        <w:rPr>
          <w:rFonts w:eastAsia="Times New Roman" w:cs="Times New Roman"/>
          <w:lang w:val="id-ID"/>
        </w:rPr>
        <w:t xml:space="preserve"> </w:t>
      </w:r>
      <w:proofErr w:type="spellStart"/>
      <w:r w:rsidRPr="00C138DE">
        <w:rPr>
          <w:rFonts w:eastAsia="Times New Roman" w:cs="Times New Roman"/>
          <w:lang w:val="id-ID"/>
        </w:rPr>
        <w:t>neurotransmission</w:t>
      </w:r>
      <w:proofErr w:type="spellEnd"/>
      <w:r w:rsidRPr="00C138DE">
        <w:rPr>
          <w:rFonts w:eastAsia="Times New Roman" w:cs="Times New Roman"/>
          <w:lang w:val="id-ID"/>
        </w:rPr>
        <w:t xml:space="preserve"> </w:t>
      </w:r>
      <w:proofErr w:type="spellStart"/>
      <w:r w:rsidRPr="00C138DE">
        <w:rPr>
          <w:rFonts w:eastAsia="Times New Roman" w:cs="Times New Roman"/>
          <w:lang w:val="id-ID"/>
        </w:rPr>
        <w:t>and</w:t>
      </w:r>
      <w:proofErr w:type="spellEnd"/>
      <w:r w:rsidRPr="00C138DE">
        <w:rPr>
          <w:rFonts w:eastAsia="Times New Roman" w:cs="Times New Roman"/>
          <w:lang w:val="id-ID"/>
        </w:rPr>
        <w:t xml:space="preserve"> </w:t>
      </w:r>
      <w:proofErr w:type="spellStart"/>
      <w:r w:rsidRPr="00C138DE">
        <w:rPr>
          <w:rFonts w:eastAsia="Times New Roman" w:cs="Times New Roman"/>
          <w:lang w:val="id-ID"/>
        </w:rPr>
        <w:t>accelerates</w:t>
      </w:r>
      <w:proofErr w:type="spellEnd"/>
      <w:r w:rsidRPr="00C138DE">
        <w:rPr>
          <w:rFonts w:eastAsia="Times New Roman" w:cs="Times New Roman"/>
          <w:lang w:val="id-ID"/>
        </w:rPr>
        <w:t xml:space="preserve"> </w:t>
      </w:r>
      <w:proofErr w:type="spellStart"/>
      <w:r w:rsidRPr="00C138DE">
        <w:rPr>
          <w:rFonts w:eastAsia="Times New Roman" w:cs="Times New Roman"/>
          <w:lang w:val="id-ID"/>
        </w:rPr>
        <w:t>neuronal</w:t>
      </w:r>
      <w:proofErr w:type="spellEnd"/>
      <w:r w:rsidRPr="00C138DE">
        <w:rPr>
          <w:rFonts w:eastAsia="Times New Roman" w:cs="Times New Roman"/>
          <w:lang w:val="id-ID"/>
        </w:rPr>
        <w:t xml:space="preserve"> </w:t>
      </w:r>
      <w:proofErr w:type="spellStart"/>
      <w:r w:rsidRPr="00C138DE">
        <w:rPr>
          <w:rFonts w:eastAsia="Times New Roman" w:cs="Times New Roman"/>
          <w:lang w:val="id-ID"/>
        </w:rPr>
        <w:t>attrition</w:t>
      </w:r>
      <w:proofErr w:type="spellEnd"/>
      <w:r w:rsidRPr="00C138DE">
        <w:rPr>
          <w:rFonts w:eastAsia="Times New Roman" w:cs="Times New Roman"/>
          <w:lang w:val="id-ID"/>
        </w:rPr>
        <w:t xml:space="preserve"> </w:t>
      </w:r>
      <w:proofErr w:type="spellStart"/>
      <w:r w:rsidRPr="00C138DE">
        <w:rPr>
          <w:rFonts w:eastAsia="Times New Roman" w:cs="Times New Roman"/>
          <w:lang w:val="id-ID"/>
        </w:rPr>
        <w:t>alongside</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breakdown</w:t>
      </w:r>
      <w:proofErr w:type="spellEnd"/>
      <w:r w:rsidRPr="00C138DE">
        <w:rPr>
          <w:rFonts w:eastAsia="Times New Roman" w:cs="Times New Roman"/>
          <w:lang w:val="id-ID"/>
        </w:rPr>
        <w:t xml:space="preserve"> </w:t>
      </w:r>
      <w:proofErr w:type="spellStart"/>
      <w:r w:rsidRPr="00C138DE">
        <w:rPr>
          <w:rFonts w:eastAsia="Times New Roman" w:cs="Times New Roman"/>
          <w:lang w:val="id-ID"/>
        </w:rPr>
        <w:t>of</w:t>
      </w:r>
      <w:proofErr w:type="spellEnd"/>
      <w:r w:rsidRPr="00C138DE">
        <w:rPr>
          <w:rFonts w:eastAsia="Times New Roman" w:cs="Times New Roman"/>
          <w:lang w:val="id-ID"/>
        </w:rPr>
        <w:t xml:space="preserve"> </w:t>
      </w:r>
      <w:proofErr w:type="spellStart"/>
      <w:r w:rsidRPr="00C138DE">
        <w:rPr>
          <w:rFonts w:eastAsia="Times New Roman" w:cs="Times New Roman"/>
          <w:lang w:val="id-ID"/>
        </w:rPr>
        <w:t>contractile</w:t>
      </w:r>
      <w:proofErr w:type="spellEnd"/>
      <w:r w:rsidRPr="00C138DE">
        <w:rPr>
          <w:rFonts w:eastAsia="Times New Roman" w:cs="Times New Roman"/>
          <w:lang w:val="id-ID"/>
        </w:rPr>
        <w:t xml:space="preserve"> </w:t>
      </w:r>
      <w:proofErr w:type="spellStart"/>
      <w:r w:rsidRPr="00C138DE">
        <w:rPr>
          <w:rFonts w:eastAsia="Times New Roman" w:cs="Times New Roman"/>
          <w:lang w:val="id-ID"/>
        </w:rPr>
        <w:t>proteins</w:t>
      </w:r>
      <w:proofErr w:type="spellEnd"/>
      <w:r w:rsidRPr="00C138DE">
        <w:rPr>
          <w:rFonts w:eastAsia="Times New Roman" w:cs="Times New Roman"/>
          <w:lang w:val="id-ID"/>
        </w:rPr>
        <w:t xml:space="preserve"> in </w:t>
      </w:r>
      <w:proofErr w:type="spellStart"/>
      <w:r w:rsidRPr="00C138DE">
        <w:rPr>
          <w:rFonts w:eastAsia="Times New Roman" w:cs="Times New Roman"/>
          <w:lang w:val="id-ID"/>
        </w:rPr>
        <w:t>skeletal</w:t>
      </w:r>
      <w:proofErr w:type="spellEnd"/>
      <w:r w:rsidRPr="00C138DE">
        <w:rPr>
          <w:rFonts w:eastAsia="Times New Roman" w:cs="Times New Roman"/>
          <w:lang w:val="id-ID"/>
        </w:rPr>
        <w:t xml:space="preserve"> </w:t>
      </w:r>
      <w:proofErr w:type="spellStart"/>
      <w:r w:rsidRPr="00C138DE">
        <w:rPr>
          <w:rFonts w:eastAsia="Times New Roman" w:cs="Times New Roman"/>
          <w:lang w:val="id-ID"/>
        </w:rPr>
        <w:t>muscle</w:t>
      </w:r>
      <w:proofErr w:type="spellEnd"/>
      <w:r w:rsidRPr="00C138DE">
        <w:rPr>
          <w:rFonts w:eastAsia="Times New Roman" w:cs="Times New Roman"/>
          <w:lang w:val="id-ID"/>
        </w:rPr>
        <w:t xml:space="preserve">. </w:t>
      </w:r>
    </w:p>
    <w:p w14:paraId="542C93F3" w14:textId="4E149A57" w:rsidR="00E24B88" w:rsidRPr="00C138DE" w:rsidRDefault="00E24B88" w:rsidP="00E24B88">
      <w:pPr>
        <w:ind w:left="284" w:right="288" w:firstLine="720"/>
        <w:jc w:val="both"/>
        <w:rPr>
          <w:rFonts w:eastAsia="Times New Roman" w:cs="Times New Roman"/>
          <w:lang w:val="id-ID"/>
        </w:rPr>
      </w:pPr>
      <w:proofErr w:type="spellStart"/>
      <w:r w:rsidRPr="00C138DE">
        <w:rPr>
          <w:rFonts w:eastAsia="Times New Roman" w:cs="Times New Roman"/>
          <w:lang w:val="id-ID"/>
        </w:rPr>
        <w:t>Through</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these</w:t>
      </w:r>
      <w:proofErr w:type="spellEnd"/>
      <w:r w:rsidRPr="00C138DE">
        <w:rPr>
          <w:rFonts w:eastAsia="Times New Roman" w:cs="Times New Roman"/>
          <w:lang w:val="id-ID"/>
        </w:rPr>
        <w:t xml:space="preserve"> </w:t>
      </w:r>
      <w:proofErr w:type="spellStart"/>
      <w:r w:rsidRPr="00C138DE">
        <w:rPr>
          <w:rFonts w:eastAsia="Times New Roman" w:cs="Times New Roman"/>
          <w:lang w:val="id-ID"/>
        </w:rPr>
        <w:t>parallel</w:t>
      </w:r>
      <w:proofErr w:type="spellEnd"/>
      <w:r w:rsidRPr="00C138DE">
        <w:rPr>
          <w:rFonts w:eastAsia="Times New Roman" w:cs="Times New Roman"/>
          <w:lang w:val="id-ID"/>
        </w:rPr>
        <w:t xml:space="preserve"> </w:t>
      </w:r>
      <w:proofErr w:type="spellStart"/>
      <w:r w:rsidRPr="00C138DE">
        <w:rPr>
          <w:rFonts w:eastAsia="Times New Roman" w:cs="Times New Roman"/>
          <w:lang w:val="id-ID"/>
        </w:rPr>
        <w:t>processes</w:t>
      </w:r>
      <w:proofErr w:type="spellEnd"/>
      <w:r w:rsidRPr="00C138DE">
        <w:rPr>
          <w:rFonts w:eastAsia="Times New Roman" w:cs="Times New Roman"/>
          <w:lang w:val="id-ID"/>
        </w:rPr>
        <w:t xml:space="preserve">, </w:t>
      </w:r>
      <w:proofErr w:type="spellStart"/>
      <w:r w:rsidRPr="00C138DE">
        <w:rPr>
          <w:rFonts w:eastAsia="Times New Roman" w:cs="Times New Roman"/>
          <w:lang w:val="id-ID"/>
        </w:rPr>
        <w:t>neuroinflammation</w:t>
      </w:r>
      <w:proofErr w:type="spellEnd"/>
      <w:r w:rsidRPr="00C138DE">
        <w:rPr>
          <w:rFonts w:eastAsia="Times New Roman" w:cs="Times New Roman"/>
          <w:lang w:val="id-ID"/>
        </w:rPr>
        <w:t xml:space="preserve"> </w:t>
      </w:r>
      <w:proofErr w:type="spellStart"/>
      <w:r w:rsidRPr="00C138DE">
        <w:rPr>
          <w:rFonts w:eastAsia="Times New Roman" w:cs="Times New Roman"/>
          <w:lang w:val="id-ID"/>
        </w:rPr>
        <w:t>and</w:t>
      </w:r>
      <w:proofErr w:type="spellEnd"/>
      <w:r w:rsidRPr="00C138DE">
        <w:rPr>
          <w:rFonts w:eastAsia="Times New Roman" w:cs="Times New Roman"/>
          <w:lang w:val="id-ID"/>
        </w:rPr>
        <w:t xml:space="preserve"> </w:t>
      </w:r>
      <w:proofErr w:type="spellStart"/>
      <w:r w:rsidRPr="00C138DE">
        <w:rPr>
          <w:rFonts w:eastAsia="Times New Roman" w:cs="Times New Roman"/>
          <w:lang w:val="id-ID"/>
        </w:rPr>
        <w:t>reactive</w:t>
      </w:r>
      <w:proofErr w:type="spellEnd"/>
      <w:r w:rsidRPr="00C138DE">
        <w:rPr>
          <w:rFonts w:eastAsia="Times New Roman" w:cs="Times New Roman"/>
          <w:lang w:val="id-ID"/>
        </w:rPr>
        <w:t xml:space="preserve"> </w:t>
      </w:r>
      <w:proofErr w:type="spellStart"/>
      <w:r w:rsidRPr="00C138DE">
        <w:rPr>
          <w:rFonts w:eastAsia="Times New Roman" w:cs="Times New Roman"/>
          <w:lang w:val="id-ID"/>
        </w:rPr>
        <w:t>oxygen</w:t>
      </w:r>
      <w:proofErr w:type="spellEnd"/>
      <w:r w:rsidRPr="00C138DE">
        <w:rPr>
          <w:rFonts w:eastAsia="Times New Roman" w:cs="Times New Roman"/>
          <w:lang w:val="id-ID"/>
        </w:rPr>
        <w:t xml:space="preserve"> </w:t>
      </w:r>
      <w:proofErr w:type="spellStart"/>
      <w:r w:rsidRPr="00C138DE">
        <w:rPr>
          <w:rFonts w:eastAsia="Times New Roman" w:cs="Times New Roman"/>
          <w:lang w:val="id-ID"/>
        </w:rPr>
        <w:t>species</w:t>
      </w:r>
      <w:proofErr w:type="spellEnd"/>
      <w:r w:rsidRPr="00C138DE">
        <w:rPr>
          <w:rFonts w:eastAsia="Times New Roman" w:cs="Times New Roman"/>
          <w:lang w:val="id-ID"/>
        </w:rPr>
        <w:t xml:space="preserve"> </w:t>
      </w:r>
      <w:proofErr w:type="spellStart"/>
      <w:r w:rsidRPr="00C138DE">
        <w:rPr>
          <w:rFonts w:eastAsia="Times New Roman" w:cs="Times New Roman"/>
          <w:lang w:val="id-ID"/>
        </w:rPr>
        <w:t>may</w:t>
      </w:r>
      <w:proofErr w:type="spellEnd"/>
      <w:r w:rsidRPr="00C138DE">
        <w:rPr>
          <w:rFonts w:eastAsia="Times New Roman" w:cs="Times New Roman"/>
          <w:lang w:val="id-ID"/>
        </w:rPr>
        <w:t xml:space="preserve"> </w:t>
      </w:r>
      <w:proofErr w:type="spellStart"/>
      <w:r w:rsidRPr="00C138DE">
        <w:rPr>
          <w:rFonts w:eastAsia="Times New Roman" w:cs="Times New Roman"/>
          <w:lang w:val="id-ID"/>
        </w:rPr>
        <w:t>operate</w:t>
      </w:r>
      <w:proofErr w:type="spellEnd"/>
      <w:r w:rsidRPr="00C138DE">
        <w:rPr>
          <w:rFonts w:eastAsia="Times New Roman" w:cs="Times New Roman"/>
          <w:lang w:val="id-ID"/>
        </w:rPr>
        <w:t xml:space="preserve"> as </w:t>
      </w:r>
      <w:proofErr w:type="spellStart"/>
      <w:r w:rsidRPr="00C138DE">
        <w:rPr>
          <w:rFonts w:eastAsia="Times New Roman" w:cs="Times New Roman"/>
          <w:lang w:val="id-ID"/>
        </w:rPr>
        <w:t>converging</w:t>
      </w:r>
      <w:proofErr w:type="spellEnd"/>
      <w:r w:rsidRPr="00C138DE">
        <w:rPr>
          <w:rFonts w:eastAsia="Times New Roman" w:cs="Times New Roman"/>
          <w:lang w:val="id-ID"/>
        </w:rPr>
        <w:t xml:space="preserve"> </w:t>
      </w:r>
      <w:proofErr w:type="spellStart"/>
      <w:r w:rsidRPr="00C138DE">
        <w:rPr>
          <w:rFonts w:eastAsia="Times New Roman" w:cs="Times New Roman"/>
          <w:lang w:val="id-ID"/>
        </w:rPr>
        <w:t>destructive</w:t>
      </w:r>
      <w:proofErr w:type="spellEnd"/>
      <w:r w:rsidRPr="00C138DE">
        <w:rPr>
          <w:rFonts w:eastAsia="Times New Roman" w:cs="Times New Roman"/>
          <w:lang w:val="id-ID"/>
        </w:rPr>
        <w:t xml:space="preserve"> </w:t>
      </w:r>
      <w:proofErr w:type="spellStart"/>
      <w:r w:rsidRPr="00C138DE">
        <w:rPr>
          <w:rFonts w:eastAsia="Times New Roman" w:cs="Times New Roman"/>
          <w:lang w:val="id-ID"/>
        </w:rPr>
        <w:t>forces</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that</w:t>
      </w:r>
      <w:proofErr w:type="spellEnd"/>
      <w:r w:rsidRPr="00C138DE">
        <w:rPr>
          <w:rFonts w:eastAsia="Times New Roman" w:cs="Times New Roman"/>
          <w:lang w:val="id-ID"/>
        </w:rPr>
        <w:t xml:space="preserve"> </w:t>
      </w:r>
      <w:proofErr w:type="spellStart"/>
      <w:r w:rsidRPr="00C138DE">
        <w:rPr>
          <w:rFonts w:eastAsia="Times New Roman" w:cs="Times New Roman"/>
          <w:lang w:val="id-ID"/>
        </w:rPr>
        <w:t>simultaneously</w:t>
      </w:r>
      <w:proofErr w:type="spellEnd"/>
      <w:r w:rsidRPr="00C138DE">
        <w:rPr>
          <w:rFonts w:eastAsia="Times New Roman" w:cs="Times New Roman"/>
          <w:lang w:val="id-ID"/>
        </w:rPr>
        <w:t xml:space="preserve"> target </w:t>
      </w:r>
      <w:proofErr w:type="spellStart"/>
      <w:r w:rsidRPr="00C138DE">
        <w:rPr>
          <w:rFonts w:eastAsia="Times New Roman" w:cs="Times New Roman"/>
          <w:lang w:val="id-ID"/>
        </w:rPr>
        <w:t>both</w:t>
      </w:r>
      <w:proofErr w:type="spellEnd"/>
      <w:r w:rsidRPr="00C138DE">
        <w:rPr>
          <w:rFonts w:eastAsia="Times New Roman" w:cs="Times New Roman"/>
          <w:lang w:val="id-ID"/>
        </w:rPr>
        <w:t xml:space="preserve"> </w:t>
      </w:r>
      <w:proofErr w:type="spellStart"/>
      <w:r w:rsidRPr="00C138DE">
        <w:rPr>
          <w:rFonts w:eastAsia="Times New Roman" w:cs="Times New Roman"/>
          <w:lang w:val="id-ID"/>
        </w:rPr>
        <w:t>musculoskeletal</w:t>
      </w:r>
      <w:proofErr w:type="spellEnd"/>
      <w:r w:rsidRPr="00C138DE">
        <w:rPr>
          <w:rFonts w:eastAsia="Times New Roman" w:cs="Times New Roman"/>
          <w:lang w:val="id-ID"/>
        </w:rPr>
        <w:t xml:space="preserve"> </w:t>
      </w:r>
      <w:proofErr w:type="spellStart"/>
      <w:r w:rsidRPr="00C138DE">
        <w:rPr>
          <w:rFonts w:eastAsia="Times New Roman" w:cs="Times New Roman"/>
          <w:lang w:val="id-ID"/>
        </w:rPr>
        <w:t>and</w:t>
      </w:r>
      <w:proofErr w:type="spellEnd"/>
      <w:r w:rsidRPr="00C138DE">
        <w:rPr>
          <w:rFonts w:eastAsia="Times New Roman" w:cs="Times New Roman"/>
          <w:lang w:val="id-ID"/>
        </w:rPr>
        <w:t xml:space="preserve"> </w:t>
      </w:r>
      <w:proofErr w:type="spellStart"/>
      <w:r w:rsidRPr="00C138DE">
        <w:rPr>
          <w:rFonts w:eastAsia="Times New Roman" w:cs="Times New Roman"/>
          <w:lang w:val="id-ID"/>
        </w:rPr>
        <w:t>cerebral</w:t>
      </w:r>
      <w:proofErr w:type="spellEnd"/>
      <w:r w:rsidRPr="00C138DE">
        <w:rPr>
          <w:rFonts w:eastAsia="Times New Roman" w:cs="Times New Roman"/>
          <w:lang w:val="id-ID"/>
        </w:rPr>
        <w:t xml:space="preserve"> </w:t>
      </w:r>
      <w:proofErr w:type="spellStart"/>
      <w:r w:rsidRPr="00C138DE">
        <w:rPr>
          <w:rFonts w:eastAsia="Times New Roman" w:cs="Times New Roman"/>
          <w:lang w:val="id-ID"/>
        </w:rPr>
        <w:t>compartments</w:t>
      </w:r>
      <w:proofErr w:type="spellEnd"/>
      <w:r w:rsidRPr="00C138DE">
        <w:rPr>
          <w:rFonts w:eastAsia="Times New Roman" w:cs="Times New Roman"/>
          <w:lang w:val="id-ID"/>
        </w:rPr>
        <w:t xml:space="preserve"> </w:t>
      </w:r>
      <w:hyperlink w:anchor="Solerte" w:history="1">
        <w:r w:rsidRPr="00C138DE">
          <w:rPr>
            <w:rStyle w:val="Hyperlink"/>
            <w:rFonts w:eastAsia="Times New Roman" w:cs="Times New Roman"/>
            <w:u w:val="none"/>
            <w:lang w:val="id-ID"/>
          </w:rPr>
          <w:t>(</w:t>
        </w:r>
        <w:proofErr w:type="spellStart"/>
        <w:r w:rsidRPr="00C138DE">
          <w:rPr>
            <w:rStyle w:val="Hyperlink"/>
            <w:rFonts w:eastAsia="Times New Roman" w:cs="Times New Roman"/>
            <w:u w:val="none"/>
            <w:lang w:val="id-ID"/>
          </w:rPr>
          <w:t>Solerte</w:t>
        </w:r>
        <w:proofErr w:type="spellEnd"/>
        <w:r w:rsidRPr="00C138DE">
          <w:rPr>
            <w:rStyle w:val="Hyperlink"/>
            <w:rFonts w:eastAsia="Times New Roman" w:cs="Times New Roman"/>
            <w:u w:val="none"/>
            <w:lang w:val="id-ID"/>
          </w:rPr>
          <w:t>, 2025)</w:t>
        </w:r>
      </w:hyperlink>
      <w:r w:rsidRPr="00C138DE">
        <w:rPr>
          <w:rFonts w:eastAsia="Times New Roman" w:cs="Times New Roman"/>
          <w:lang w:val="id-ID"/>
        </w:rPr>
        <w:t xml:space="preserve">. </w:t>
      </w:r>
      <w:proofErr w:type="spellStart"/>
      <w:r w:rsidRPr="00C138DE">
        <w:rPr>
          <w:rFonts w:eastAsia="Times New Roman" w:cs="Times New Roman"/>
          <w:lang w:val="id-ID"/>
        </w:rPr>
        <w:t>Viewed</w:t>
      </w:r>
      <w:proofErr w:type="spellEnd"/>
      <w:r w:rsidRPr="00C138DE">
        <w:rPr>
          <w:rFonts w:eastAsia="Times New Roman" w:cs="Times New Roman"/>
          <w:lang w:val="id-ID"/>
        </w:rPr>
        <w:t xml:space="preserve"> </w:t>
      </w:r>
      <w:proofErr w:type="spellStart"/>
      <w:r w:rsidRPr="00C138DE">
        <w:rPr>
          <w:rFonts w:eastAsia="Times New Roman" w:cs="Times New Roman"/>
          <w:lang w:val="id-ID"/>
        </w:rPr>
        <w:t>collectively</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these</w:t>
      </w:r>
      <w:proofErr w:type="spellEnd"/>
      <w:r w:rsidRPr="00C138DE">
        <w:rPr>
          <w:rFonts w:eastAsia="Times New Roman" w:cs="Times New Roman"/>
          <w:lang w:val="id-ID"/>
        </w:rPr>
        <w:t xml:space="preserve"> </w:t>
      </w:r>
      <w:proofErr w:type="spellStart"/>
      <w:r w:rsidRPr="00C138DE">
        <w:rPr>
          <w:rFonts w:eastAsia="Times New Roman" w:cs="Times New Roman"/>
          <w:lang w:val="id-ID"/>
        </w:rPr>
        <w:t>mechanistic</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threads</w:t>
      </w:r>
      <w:proofErr w:type="spellEnd"/>
      <w:r w:rsidRPr="00C138DE">
        <w:rPr>
          <w:rFonts w:eastAsia="Times New Roman" w:cs="Times New Roman"/>
          <w:lang w:val="id-ID"/>
        </w:rPr>
        <w:t xml:space="preserve"> </w:t>
      </w:r>
      <w:proofErr w:type="spellStart"/>
      <w:r w:rsidRPr="00C138DE">
        <w:rPr>
          <w:rFonts w:eastAsia="Times New Roman" w:cs="Times New Roman"/>
          <w:lang w:val="id-ID"/>
        </w:rPr>
        <w:t>lend</w:t>
      </w:r>
      <w:proofErr w:type="spellEnd"/>
      <w:r w:rsidRPr="00C138DE">
        <w:rPr>
          <w:rFonts w:eastAsia="Times New Roman" w:cs="Times New Roman"/>
          <w:lang w:val="id-ID"/>
        </w:rPr>
        <w:t xml:space="preserve"> </w:t>
      </w:r>
      <w:proofErr w:type="spellStart"/>
      <w:r w:rsidRPr="00C138DE">
        <w:rPr>
          <w:rFonts w:eastAsia="Times New Roman" w:cs="Times New Roman"/>
          <w:lang w:val="id-ID"/>
        </w:rPr>
        <w:t>credence</w:t>
      </w:r>
      <w:proofErr w:type="spellEnd"/>
      <w:r w:rsidRPr="00C138DE">
        <w:rPr>
          <w:rFonts w:eastAsia="Times New Roman" w:cs="Times New Roman"/>
          <w:lang w:val="id-ID"/>
        </w:rPr>
        <w:t xml:space="preserve"> </w:t>
      </w:r>
      <w:proofErr w:type="spellStart"/>
      <w:r w:rsidRPr="00C138DE">
        <w:rPr>
          <w:rFonts w:eastAsia="Times New Roman" w:cs="Times New Roman"/>
          <w:lang w:val="id-ID"/>
        </w:rPr>
        <w:t>to</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proposition</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that</w:t>
      </w:r>
      <w:proofErr w:type="spellEnd"/>
      <w:r w:rsidRPr="00C138DE">
        <w:rPr>
          <w:rFonts w:eastAsia="Times New Roman" w:cs="Times New Roman"/>
          <w:lang w:val="id-ID"/>
        </w:rPr>
        <w:t xml:space="preserve">, </w:t>
      </w:r>
      <w:proofErr w:type="spellStart"/>
      <w:r w:rsidRPr="00C138DE">
        <w:rPr>
          <w:rFonts w:eastAsia="Times New Roman" w:cs="Times New Roman"/>
          <w:lang w:val="id-ID"/>
        </w:rPr>
        <w:t>within</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diabetic</w:t>
      </w:r>
      <w:proofErr w:type="spellEnd"/>
      <w:r w:rsidRPr="00C138DE">
        <w:rPr>
          <w:rFonts w:eastAsia="Times New Roman" w:cs="Times New Roman"/>
          <w:lang w:val="id-ID"/>
        </w:rPr>
        <w:t xml:space="preserve"> </w:t>
      </w:r>
      <w:proofErr w:type="spellStart"/>
      <w:r w:rsidRPr="00C138DE">
        <w:rPr>
          <w:rFonts w:eastAsia="Times New Roman" w:cs="Times New Roman"/>
          <w:lang w:val="id-ID"/>
        </w:rPr>
        <w:t>population</w:t>
      </w:r>
      <w:proofErr w:type="spellEnd"/>
      <w:r w:rsidRPr="00C138DE">
        <w:rPr>
          <w:rFonts w:eastAsia="Times New Roman" w:cs="Times New Roman"/>
          <w:lang w:val="id-ID"/>
        </w:rPr>
        <w:t xml:space="preserve">, </w:t>
      </w:r>
      <w:proofErr w:type="spellStart"/>
      <w:r w:rsidRPr="00C138DE">
        <w:rPr>
          <w:rFonts w:eastAsia="Times New Roman" w:cs="Times New Roman"/>
          <w:lang w:val="id-ID"/>
        </w:rPr>
        <w:t>sarcopenia</w:t>
      </w:r>
      <w:proofErr w:type="spellEnd"/>
      <w:r w:rsidRPr="00C138DE">
        <w:rPr>
          <w:rFonts w:eastAsia="Times New Roman" w:cs="Times New Roman"/>
          <w:lang w:val="id-ID"/>
        </w:rPr>
        <w:t xml:space="preserve"> </w:t>
      </w:r>
      <w:proofErr w:type="spellStart"/>
      <w:r w:rsidRPr="00C138DE">
        <w:rPr>
          <w:rFonts w:eastAsia="Times New Roman" w:cs="Times New Roman"/>
          <w:lang w:val="id-ID"/>
        </w:rPr>
        <w:t>may</w:t>
      </w:r>
      <w:proofErr w:type="spellEnd"/>
      <w:r w:rsidRPr="00C138DE">
        <w:rPr>
          <w:rFonts w:eastAsia="Times New Roman" w:cs="Times New Roman"/>
          <w:lang w:val="id-ID"/>
        </w:rPr>
        <w:t xml:space="preserve"> </w:t>
      </w:r>
      <w:proofErr w:type="spellStart"/>
      <w:r w:rsidRPr="00C138DE">
        <w:rPr>
          <w:rFonts w:eastAsia="Times New Roman" w:cs="Times New Roman"/>
          <w:lang w:val="id-ID"/>
        </w:rPr>
        <w:t>function</w:t>
      </w:r>
      <w:proofErr w:type="spellEnd"/>
      <w:r w:rsidRPr="00C138DE">
        <w:rPr>
          <w:rFonts w:eastAsia="Times New Roman" w:cs="Times New Roman"/>
          <w:lang w:val="id-ID"/>
        </w:rPr>
        <w:t xml:space="preserve"> as a </w:t>
      </w:r>
      <w:proofErr w:type="spellStart"/>
      <w:r w:rsidRPr="00C138DE">
        <w:rPr>
          <w:rFonts w:eastAsia="Times New Roman" w:cs="Times New Roman"/>
          <w:lang w:val="id-ID"/>
        </w:rPr>
        <w:t>proxy</w:t>
      </w:r>
      <w:proofErr w:type="spellEnd"/>
      <w:r w:rsidRPr="00C138DE">
        <w:rPr>
          <w:rFonts w:eastAsia="Times New Roman" w:cs="Times New Roman"/>
          <w:lang w:val="id-ID"/>
        </w:rPr>
        <w:t xml:space="preserve"> </w:t>
      </w:r>
      <w:proofErr w:type="spellStart"/>
      <w:r w:rsidRPr="00C138DE">
        <w:rPr>
          <w:rFonts w:eastAsia="Times New Roman" w:cs="Times New Roman"/>
          <w:lang w:val="id-ID"/>
        </w:rPr>
        <w:t>indicator</w:t>
      </w:r>
      <w:proofErr w:type="spellEnd"/>
      <w:r w:rsidRPr="00C138DE">
        <w:rPr>
          <w:rFonts w:eastAsia="Times New Roman" w:cs="Times New Roman"/>
          <w:lang w:val="id-ID"/>
        </w:rPr>
        <w:t xml:space="preserve"> </w:t>
      </w:r>
      <w:proofErr w:type="spellStart"/>
      <w:r w:rsidRPr="00C138DE">
        <w:rPr>
          <w:rFonts w:eastAsia="Times New Roman" w:cs="Times New Roman"/>
          <w:lang w:val="id-ID"/>
        </w:rPr>
        <w:t>of</w:t>
      </w:r>
      <w:proofErr w:type="spellEnd"/>
      <w:r w:rsidRPr="00C138DE">
        <w:rPr>
          <w:rFonts w:eastAsia="Times New Roman" w:cs="Times New Roman"/>
          <w:lang w:val="id-ID"/>
        </w:rPr>
        <w:t xml:space="preserve"> </w:t>
      </w:r>
      <w:proofErr w:type="spellStart"/>
      <w:r w:rsidRPr="00C138DE">
        <w:rPr>
          <w:rFonts w:eastAsia="Times New Roman" w:cs="Times New Roman"/>
          <w:lang w:val="id-ID"/>
        </w:rPr>
        <w:t>heightened</w:t>
      </w:r>
      <w:proofErr w:type="spellEnd"/>
      <w:r w:rsidRPr="00C138DE">
        <w:rPr>
          <w:rFonts w:eastAsia="Times New Roman" w:cs="Times New Roman"/>
          <w:lang w:val="id-ID"/>
        </w:rPr>
        <w:t xml:space="preserve"> </w:t>
      </w:r>
      <w:proofErr w:type="spellStart"/>
      <w:r w:rsidRPr="00C138DE">
        <w:rPr>
          <w:rFonts w:eastAsia="Times New Roman" w:cs="Times New Roman"/>
          <w:lang w:val="id-ID"/>
        </w:rPr>
        <w:t>systemic</w:t>
      </w:r>
      <w:proofErr w:type="spellEnd"/>
      <w:r w:rsidRPr="00C138DE">
        <w:rPr>
          <w:rFonts w:eastAsia="Times New Roman" w:cs="Times New Roman"/>
          <w:lang w:val="id-ID"/>
        </w:rPr>
        <w:t xml:space="preserve"> </w:t>
      </w:r>
      <w:proofErr w:type="spellStart"/>
      <w:r w:rsidRPr="00C138DE">
        <w:rPr>
          <w:rFonts w:eastAsia="Times New Roman" w:cs="Times New Roman"/>
          <w:lang w:val="id-ID"/>
        </w:rPr>
        <w:t>inflammatory</w:t>
      </w:r>
      <w:proofErr w:type="spellEnd"/>
      <w:r w:rsidRPr="00C138DE">
        <w:rPr>
          <w:rFonts w:eastAsia="Times New Roman" w:cs="Times New Roman"/>
          <w:lang w:val="id-ID"/>
        </w:rPr>
        <w:t xml:space="preserve"> </w:t>
      </w:r>
      <w:proofErr w:type="spellStart"/>
      <w:r w:rsidRPr="00C138DE">
        <w:rPr>
          <w:rFonts w:eastAsia="Times New Roman" w:cs="Times New Roman"/>
          <w:lang w:val="id-ID"/>
        </w:rPr>
        <w:t>load</w:t>
      </w:r>
      <w:proofErr w:type="spellEnd"/>
      <w:r w:rsidRPr="00C138DE">
        <w:rPr>
          <w:rFonts w:eastAsia="Times New Roman" w:cs="Times New Roman"/>
          <w:lang w:val="id-ID"/>
        </w:rPr>
        <w:t xml:space="preserve"> </w:t>
      </w:r>
      <w:proofErr w:type="spellStart"/>
      <w:r w:rsidRPr="00C138DE">
        <w:rPr>
          <w:rFonts w:eastAsia="Times New Roman" w:cs="Times New Roman"/>
          <w:lang w:val="id-ID"/>
        </w:rPr>
        <w:t>and</w:t>
      </w:r>
      <w:proofErr w:type="spellEnd"/>
      <w:r w:rsidRPr="00C138DE">
        <w:rPr>
          <w:rFonts w:eastAsia="Times New Roman" w:cs="Times New Roman"/>
          <w:lang w:val="id-ID"/>
        </w:rPr>
        <w:t xml:space="preserve"> </w:t>
      </w:r>
      <w:proofErr w:type="spellStart"/>
      <w:r w:rsidRPr="00C138DE">
        <w:rPr>
          <w:rFonts w:eastAsia="Times New Roman" w:cs="Times New Roman"/>
          <w:lang w:val="id-ID"/>
        </w:rPr>
        <w:t>attendant</w:t>
      </w:r>
      <w:proofErr w:type="spellEnd"/>
      <w:r w:rsidRPr="00C138DE">
        <w:rPr>
          <w:rFonts w:eastAsia="Times New Roman" w:cs="Times New Roman"/>
          <w:lang w:val="id-ID"/>
        </w:rPr>
        <w:t xml:space="preserve"> </w:t>
      </w:r>
      <w:proofErr w:type="spellStart"/>
      <w:r w:rsidRPr="00C138DE">
        <w:rPr>
          <w:rFonts w:eastAsia="Times New Roman" w:cs="Times New Roman"/>
          <w:lang w:val="id-ID"/>
        </w:rPr>
        <w:t>cognitive</w:t>
      </w:r>
      <w:proofErr w:type="spellEnd"/>
      <w:r w:rsidRPr="00C138DE">
        <w:rPr>
          <w:rFonts w:eastAsia="Times New Roman" w:cs="Times New Roman"/>
          <w:lang w:val="id-ID"/>
        </w:rPr>
        <w:t xml:space="preserve"> </w:t>
      </w:r>
      <w:proofErr w:type="spellStart"/>
      <w:r w:rsidRPr="00C138DE">
        <w:rPr>
          <w:rFonts w:eastAsia="Times New Roman" w:cs="Times New Roman"/>
          <w:lang w:val="id-ID"/>
        </w:rPr>
        <w:t>vulnerability</w:t>
      </w:r>
      <w:proofErr w:type="spellEnd"/>
      <w:r w:rsidRPr="00C138DE">
        <w:rPr>
          <w:rFonts w:eastAsia="Times New Roman" w:cs="Times New Roman"/>
          <w:lang w:val="id-ID"/>
        </w:rPr>
        <w:t xml:space="preserve">, a </w:t>
      </w:r>
      <w:proofErr w:type="spellStart"/>
      <w:r w:rsidRPr="00C138DE">
        <w:rPr>
          <w:rFonts w:eastAsia="Times New Roman" w:cs="Times New Roman"/>
          <w:lang w:val="id-ID"/>
        </w:rPr>
        <w:t>reading</w:t>
      </w:r>
      <w:proofErr w:type="spellEnd"/>
      <w:r w:rsidRPr="00C138DE">
        <w:rPr>
          <w:rFonts w:eastAsia="Times New Roman" w:cs="Times New Roman"/>
          <w:lang w:val="id-ID"/>
        </w:rPr>
        <w:t xml:space="preserve"> </w:t>
      </w:r>
      <w:proofErr w:type="spellStart"/>
      <w:r w:rsidRPr="00C138DE">
        <w:rPr>
          <w:rFonts w:eastAsia="Times New Roman" w:cs="Times New Roman"/>
          <w:lang w:val="id-ID"/>
        </w:rPr>
        <w:t>consonant</w:t>
      </w:r>
      <w:proofErr w:type="spellEnd"/>
      <w:r w:rsidRPr="00C138DE">
        <w:rPr>
          <w:rFonts w:eastAsia="Times New Roman" w:cs="Times New Roman"/>
          <w:lang w:val="id-ID"/>
        </w:rPr>
        <w:t xml:space="preserve"> </w:t>
      </w:r>
      <w:proofErr w:type="spellStart"/>
      <w:r w:rsidRPr="00C138DE">
        <w:rPr>
          <w:rFonts w:eastAsia="Times New Roman" w:cs="Times New Roman"/>
          <w:lang w:val="id-ID"/>
        </w:rPr>
        <w:t>with</w:t>
      </w:r>
      <w:proofErr w:type="spellEnd"/>
      <w:r w:rsidRPr="00C138DE">
        <w:rPr>
          <w:rFonts w:eastAsia="Times New Roman" w:cs="Times New Roman"/>
          <w:lang w:val="id-ID"/>
        </w:rPr>
        <w:t xml:space="preserve"> </w:t>
      </w:r>
      <w:proofErr w:type="spellStart"/>
      <w:r w:rsidRPr="00C138DE">
        <w:rPr>
          <w:rFonts w:eastAsia="Times New Roman" w:cs="Times New Roman"/>
          <w:lang w:val="id-ID"/>
        </w:rPr>
        <w:t>InCHIANTI</w:t>
      </w:r>
      <w:proofErr w:type="spellEnd"/>
      <w:r w:rsidRPr="00C138DE">
        <w:rPr>
          <w:rFonts w:eastAsia="Times New Roman" w:cs="Times New Roman"/>
          <w:lang w:val="id-ID"/>
        </w:rPr>
        <w:t xml:space="preserve"> </w:t>
      </w:r>
      <w:proofErr w:type="spellStart"/>
      <w:r w:rsidRPr="00C138DE">
        <w:rPr>
          <w:rFonts w:eastAsia="Times New Roman" w:cs="Times New Roman"/>
          <w:lang w:val="id-ID"/>
        </w:rPr>
        <w:t>cohort</w:t>
      </w:r>
      <w:proofErr w:type="spellEnd"/>
      <w:r w:rsidRPr="00C138DE">
        <w:rPr>
          <w:rFonts w:eastAsia="Times New Roman" w:cs="Times New Roman"/>
          <w:lang w:val="id-ID"/>
        </w:rPr>
        <w:t xml:space="preserve"> data </w:t>
      </w:r>
      <w:proofErr w:type="spellStart"/>
      <w:r w:rsidRPr="00C138DE">
        <w:rPr>
          <w:rFonts w:eastAsia="Times New Roman" w:cs="Times New Roman"/>
          <w:lang w:val="id-ID"/>
        </w:rPr>
        <w:t>linking</w:t>
      </w:r>
      <w:proofErr w:type="spellEnd"/>
      <w:r w:rsidRPr="00C138DE">
        <w:rPr>
          <w:rFonts w:eastAsia="Times New Roman" w:cs="Times New Roman"/>
          <w:lang w:val="id-ID"/>
        </w:rPr>
        <w:t xml:space="preserve"> </w:t>
      </w:r>
      <w:proofErr w:type="spellStart"/>
      <w:r w:rsidRPr="00C138DE">
        <w:rPr>
          <w:rFonts w:eastAsia="Times New Roman" w:cs="Times New Roman"/>
          <w:lang w:val="id-ID"/>
        </w:rPr>
        <w:t>circulating</w:t>
      </w:r>
      <w:proofErr w:type="spellEnd"/>
      <w:r w:rsidRPr="00C138DE">
        <w:rPr>
          <w:rFonts w:eastAsia="Times New Roman" w:cs="Times New Roman"/>
          <w:lang w:val="id-ID"/>
        </w:rPr>
        <w:t xml:space="preserve"> </w:t>
      </w:r>
      <w:proofErr w:type="spellStart"/>
      <w:r w:rsidRPr="00C138DE">
        <w:rPr>
          <w:rFonts w:eastAsia="Times New Roman" w:cs="Times New Roman"/>
          <w:lang w:val="id-ID"/>
        </w:rPr>
        <w:t>inflammatory</w:t>
      </w:r>
      <w:proofErr w:type="spellEnd"/>
      <w:r w:rsidRPr="00C138DE">
        <w:rPr>
          <w:rFonts w:eastAsia="Times New Roman" w:cs="Times New Roman"/>
          <w:lang w:val="id-ID"/>
        </w:rPr>
        <w:t xml:space="preserve"> </w:t>
      </w:r>
      <w:proofErr w:type="spellStart"/>
      <w:r w:rsidRPr="00C138DE">
        <w:rPr>
          <w:rFonts w:eastAsia="Times New Roman" w:cs="Times New Roman"/>
          <w:lang w:val="id-ID"/>
        </w:rPr>
        <w:t>indices</w:t>
      </w:r>
      <w:proofErr w:type="spellEnd"/>
      <w:r w:rsidRPr="00C138DE">
        <w:rPr>
          <w:rFonts w:eastAsia="Times New Roman" w:cs="Times New Roman"/>
          <w:lang w:val="id-ID"/>
        </w:rPr>
        <w:t xml:space="preserve"> </w:t>
      </w:r>
      <w:proofErr w:type="spellStart"/>
      <w:r w:rsidRPr="00C138DE">
        <w:rPr>
          <w:rFonts w:eastAsia="Times New Roman" w:cs="Times New Roman"/>
          <w:lang w:val="id-ID"/>
        </w:rPr>
        <w:t>to</w:t>
      </w:r>
      <w:proofErr w:type="spellEnd"/>
      <w:r w:rsidRPr="00C138DE">
        <w:rPr>
          <w:rFonts w:eastAsia="Times New Roman" w:cs="Times New Roman"/>
          <w:lang w:val="id-ID"/>
        </w:rPr>
        <w:t xml:space="preserve"> </w:t>
      </w:r>
      <w:proofErr w:type="spellStart"/>
      <w:r w:rsidRPr="00C138DE">
        <w:rPr>
          <w:rFonts w:eastAsia="Times New Roman" w:cs="Times New Roman"/>
          <w:lang w:val="id-ID"/>
        </w:rPr>
        <w:t>diminished</w:t>
      </w:r>
      <w:proofErr w:type="spellEnd"/>
      <w:r w:rsidRPr="00C138DE">
        <w:rPr>
          <w:rFonts w:eastAsia="Times New Roman" w:cs="Times New Roman"/>
          <w:lang w:val="id-ID"/>
        </w:rPr>
        <w:t xml:space="preserve"> </w:t>
      </w:r>
      <w:proofErr w:type="spellStart"/>
      <w:r w:rsidRPr="00C138DE">
        <w:rPr>
          <w:rFonts w:eastAsia="Times New Roman" w:cs="Times New Roman"/>
          <w:lang w:val="id-ID"/>
        </w:rPr>
        <w:t>physical</w:t>
      </w:r>
      <w:proofErr w:type="spellEnd"/>
      <w:r w:rsidRPr="00C138DE">
        <w:rPr>
          <w:rFonts w:eastAsia="Times New Roman" w:cs="Times New Roman"/>
          <w:lang w:val="id-ID"/>
        </w:rPr>
        <w:t xml:space="preserve"> </w:t>
      </w:r>
      <w:proofErr w:type="spellStart"/>
      <w:r w:rsidRPr="00C138DE">
        <w:rPr>
          <w:rFonts w:eastAsia="Times New Roman" w:cs="Times New Roman"/>
          <w:lang w:val="id-ID"/>
        </w:rPr>
        <w:t>performance</w:t>
      </w:r>
      <w:proofErr w:type="spellEnd"/>
      <w:r w:rsidRPr="00C138DE">
        <w:rPr>
          <w:rFonts w:eastAsia="Times New Roman" w:cs="Times New Roman"/>
          <w:lang w:val="id-ID"/>
        </w:rPr>
        <w:t xml:space="preserve"> </w:t>
      </w:r>
      <w:hyperlink w:anchor="Pellegrino" w:history="1">
        <w:r w:rsidR="009C2791" w:rsidRPr="00C138DE">
          <w:rPr>
            <w:rStyle w:val="Hyperlink"/>
            <w:rFonts w:eastAsia="Times New Roman" w:cs="Times New Roman"/>
            <w:u w:val="none"/>
            <w:lang w:val="id-ID"/>
          </w:rPr>
          <w:t>(</w:t>
        </w:r>
        <w:proofErr w:type="spellStart"/>
        <w:r w:rsidR="009C2791" w:rsidRPr="00C138DE">
          <w:rPr>
            <w:rStyle w:val="Hyperlink"/>
            <w:rFonts w:eastAsia="Times New Roman" w:cs="Times New Roman"/>
            <w:u w:val="none"/>
            <w:lang w:val="id-ID"/>
          </w:rPr>
          <w:t>Pellegrino</w:t>
        </w:r>
        <w:proofErr w:type="spellEnd"/>
        <w:r w:rsidR="009C2791" w:rsidRPr="00C138DE">
          <w:rPr>
            <w:rStyle w:val="Hyperlink"/>
            <w:rFonts w:eastAsia="Times New Roman" w:cs="Times New Roman"/>
            <w:u w:val="none"/>
            <w:lang w:val="id-ID"/>
          </w:rPr>
          <w:t xml:space="preserve"> </w:t>
        </w:r>
        <w:proofErr w:type="spellStart"/>
        <w:r w:rsidR="009C2791" w:rsidRPr="00C138DE">
          <w:rPr>
            <w:rStyle w:val="Hyperlink"/>
            <w:rFonts w:eastAsia="Times New Roman" w:cs="Times New Roman"/>
            <w:u w:val="none"/>
            <w:lang w:val="id-ID"/>
          </w:rPr>
          <w:t>et</w:t>
        </w:r>
        <w:proofErr w:type="spellEnd"/>
        <w:r w:rsidR="009C2791" w:rsidRPr="00C138DE">
          <w:rPr>
            <w:rStyle w:val="Hyperlink"/>
            <w:rFonts w:eastAsia="Times New Roman" w:cs="Times New Roman"/>
            <w:u w:val="none"/>
            <w:lang w:val="id-ID"/>
          </w:rPr>
          <w:t xml:space="preserve"> </w:t>
        </w:r>
        <w:proofErr w:type="spellStart"/>
        <w:r w:rsidR="009C2791" w:rsidRPr="00C138DE">
          <w:rPr>
            <w:rStyle w:val="Hyperlink"/>
            <w:rFonts w:eastAsia="Times New Roman" w:cs="Times New Roman"/>
            <w:u w:val="none"/>
            <w:lang w:val="id-ID"/>
          </w:rPr>
          <w:t>al.</w:t>
        </w:r>
        <w:proofErr w:type="spellEnd"/>
        <w:r w:rsidR="009C2791" w:rsidRPr="00C138DE">
          <w:rPr>
            <w:rStyle w:val="Hyperlink"/>
            <w:rFonts w:eastAsia="Times New Roman" w:cs="Times New Roman"/>
            <w:u w:val="none"/>
            <w:lang w:val="id-ID"/>
          </w:rPr>
          <w:t>, 2024)</w:t>
        </w:r>
      </w:hyperlink>
      <w:r w:rsidRPr="00C138DE">
        <w:rPr>
          <w:rFonts w:eastAsia="Times New Roman" w:cs="Times New Roman"/>
          <w:lang w:val="id-ID"/>
        </w:rPr>
        <w:t xml:space="preserve">. All </w:t>
      </w:r>
      <w:proofErr w:type="spellStart"/>
      <w:r w:rsidRPr="00C138DE">
        <w:rPr>
          <w:rFonts w:eastAsia="Times New Roman" w:cs="Times New Roman"/>
          <w:lang w:val="id-ID"/>
        </w:rPr>
        <w:t>mechanistic</w:t>
      </w:r>
      <w:proofErr w:type="spellEnd"/>
      <w:r w:rsidRPr="00C138DE">
        <w:rPr>
          <w:rFonts w:eastAsia="Times New Roman" w:cs="Times New Roman"/>
          <w:lang w:val="id-ID"/>
        </w:rPr>
        <w:t xml:space="preserve"> </w:t>
      </w:r>
      <w:proofErr w:type="spellStart"/>
      <w:r w:rsidRPr="00C138DE">
        <w:rPr>
          <w:rFonts w:eastAsia="Times New Roman" w:cs="Times New Roman"/>
          <w:lang w:val="id-ID"/>
        </w:rPr>
        <w:t>interpretations</w:t>
      </w:r>
      <w:proofErr w:type="spellEnd"/>
      <w:r w:rsidRPr="00C138DE">
        <w:rPr>
          <w:rFonts w:eastAsia="Times New Roman" w:cs="Times New Roman"/>
          <w:lang w:val="id-ID"/>
        </w:rPr>
        <w:t xml:space="preserve"> </w:t>
      </w:r>
      <w:proofErr w:type="spellStart"/>
      <w:r w:rsidRPr="00C138DE">
        <w:rPr>
          <w:rFonts w:eastAsia="Times New Roman" w:cs="Times New Roman"/>
          <w:lang w:val="id-ID"/>
        </w:rPr>
        <w:t>advanced</w:t>
      </w:r>
      <w:proofErr w:type="spellEnd"/>
      <w:r w:rsidRPr="00C138DE">
        <w:rPr>
          <w:rFonts w:eastAsia="Times New Roman" w:cs="Times New Roman"/>
          <w:lang w:val="id-ID"/>
        </w:rPr>
        <w:t xml:space="preserve"> </w:t>
      </w:r>
      <w:proofErr w:type="spellStart"/>
      <w:r w:rsidRPr="00C138DE">
        <w:rPr>
          <w:rFonts w:eastAsia="Times New Roman" w:cs="Times New Roman"/>
          <w:lang w:val="id-ID"/>
        </w:rPr>
        <w:t>here</w:t>
      </w:r>
      <w:proofErr w:type="spellEnd"/>
      <w:r w:rsidRPr="00C138DE">
        <w:rPr>
          <w:rFonts w:eastAsia="Times New Roman" w:cs="Times New Roman"/>
          <w:lang w:val="id-ID"/>
        </w:rPr>
        <w:t xml:space="preserve"> </w:t>
      </w:r>
      <w:proofErr w:type="spellStart"/>
      <w:r w:rsidRPr="00C138DE">
        <w:rPr>
          <w:rFonts w:eastAsia="Times New Roman" w:cs="Times New Roman"/>
          <w:lang w:val="id-ID"/>
        </w:rPr>
        <w:t>derive</w:t>
      </w:r>
      <w:proofErr w:type="spellEnd"/>
      <w:r w:rsidRPr="00C138DE">
        <w:rPr>
          <w:rFonts w:eastAsia="Times New Roman" w:cs="Times New Roman"/>
          <w:lang w:val="id-ID"/>
        </w:rPr>
        <w:t xml:space="preserve"> </w:t>
      </w:r>
      <w:proofErr w:type="spellStart"/>
      <w:r w:rsidRPr="00C138DE">
        <w:rPr>
          <w:rFonts w:eastAsia="Times New Roman" w:cs="Times New Roman"/>
          <w:lang w:val="id-ID"/>
        </w:rPr>
        <w:t>from</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extant</w:t>
      </w:r>
      <w:proofErr w:type="spellEnd"/>
      <w:r w:rsidRPr="00C138DE">
        <w:rPr>
          <w:rFonts w:eastAsia="Times New Roman" w:cs="Times New Roman"/>
          <w:lang w:val="id-ID"/>
        </w:rPr>
        <w:t xml:space="preserve"> </w:t>
      </w:r>
      <w:proofErr w:type="spellStart"/>
      <w:r w:rsidRPr="00C138DE">
        <w:rPr>
          <w:rFonts w:eastAsia="Times New Roman" w:cs="Times New Roman"/>
          <w:lang w:val="id-ID"/>
        </w:rPr>
        <w:t>literature</w:t>
      </w:r>
      <w:proofErr w:type="spellEnd"/>
      <w:r w:rsidRPr="00C138DE">
        <w:rPr>
          <w:rFonts w:eastAsia="Times New Roman" w:cs="Times New Roman"/>
          <w:lang w:val="id-ID"/>
        </w:rPr>
        <w:t xml:space="preserve"> </w:t>
      </w:r>
      <w:proofErr w:type="spellStart"/>
      <w:r w:rsidRPr="00C138DE">
        <w:rPr>
          <w:rFonts w:eastAsia="Times New Roman" w:cs="Times New Roman"/>
          <w:lang w:val="id-ID"/>
        </w:rPr>
        <w:t>and</w:t>
      </w:r>
      <w:proofErr w:type="spellEnd"/>
      <w:r w:rsidRPr="00C138DE">
        <w:rPr>
          <w:rFonts w:eastAsia="Times New Roman" w:cs="Times New Roman"/>
          <w:lang w:val="id-ID"/>
        </w:rPr>
        <w:t xml:space="preserve"> </w:t>
      </w:r>
      <w:proofErr w:type="spellStart"/>
      <w:r w:rsidRPr="00C138DE">
        <w:rPr>
          <w:rFonts w:eastAsia="Times New Roman" w:cs="Times New Roman"/>
          <w:lang w:val="id-ID"/>
        </w:rPr>
        <w:t>do</w:t>
      </w:r>
      <w:proofErr w:type="spellEnd"/>
      <w:r w:rsidRPr="00C138DE">
        <w:rPr>
          <w:rFonts w:eastAsia="Times New Roman" w:cs="Times New Roman"/>
          <w:lang w:val="id-ID"/>
        </w:rPr>
        <w:t xml:space="preserve"> not </w:t>
      </w:r>
      <w:proofErr w:type="spellStart"/>
      <w:r w:rsidRPr="00C138DE">
        <w:rPr>
          <w:rFonts w:eastAsia="Times New Roman" w:cs="Times New Roman"/>
          <w:lang w:val="id-ID"/>
        </w:rPr>
        <w:t>constitute</w:t>
      </w:r>
      <w:proofErr w:type="spellEnd"/>
      <w:r w:rsidRPr="00C138DE">
        <w:rPr>
          <w:rFonts w:eastAsia="Times New Roman" w:cs="Times New Roman"/>
          <w:lang w:val="id-ID"/>
        </w:rPr>
        <w:t xml:space="preserve"> </w:t>
      </w:r>
      <w:proofErr w:type="spellStart"/>
      <w:r w:rsidRPr="00C138DE">
        <w:rPr>
          <w:rFonts w:eastAsia="Times New Roman" w:cs="Times New Roman"/>
          <w:lang w:val="id-ID"/>
        </w:rPr>
        <w:t>direct</w:t>
      </w:r>
      <w:proofErr w:type="spellEnd"/>
      <w:r w:rsidRPr="00C138DE">
        <w:rPr>
          <w:rFonts w:eastAsia="Times New Roman" w:cs="Times New Roman"/>
          <w:lang w:val="id-ID"/>
        </w:rPr>
        <w:t xml:space="preserve"> </w:t>
      </w:r>
      <w:proofErr w:type="spellStart"/>
      <w:r w:rsidRPr="00C138DE">
        <w:rPr>
          <w:rFonts w:eastAsia="Times New Roman" w:cs="Times New Roman"/>
          <w:lang w:val="id-ID"/>
        </w:rPr>
        <w:t>empirical</w:t>
      </w:r>
      <w:proofErr w:type="spellEnd"/>
      <w:r w:rsidRPr="00C138DE">
        <w:rPr>
          <w:rFonts w:eastAsia="Times New Roman" w:cs="Times New Roman"/>
          <w:lang w:val="id-ID"/>
        </w:rPr>
        <w:t xml:space="preserve"> </w:t>
      </w:r>
      <w:proofErr w:type="spellStart"/>
      <w:r w:rsidRPr="00C138DE">
        <w:rPr>
          <w:rFonts w:eastAsia="Times New Roman" w:cs="Times New Roman"/>
          <w:lang w:val="id-ID"/>
        </w:rPr>
        <w:t>outputs</w:t>
      </w:r>
      <w:proofErr w:type="spellEnd"/>
      <w:r w:rsidRPr="00C138DE">
        <w:rPr>
          <w:rFonts w:eastAsia="Times New Roman" w:cs="Times New Roman"/>
          <w:lang w:val="id-ID"/>
        </w:rPr>
        <w:t xml:space="preserve"> </w:t>
      </w:r>
      <w:proofErr w:type="spellStart"/>
      <w:r w:rsidRPr="00C138DE">
        <w:rPr>
          <w:rFonts w:eastAsia="Times New Roman" w:cs="Times New Roman"/>
          <w:lang w:val="id-ID"/>
        </w:rPr>
        <w:t>of</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present</w:t>
      </w:r>
      <w:proofErr w:type="spellEnd"/>
      <w:r w:rsidRPr="00C138DE">
        <w:rPr>
          <w:rFonts w:eastAsia="Times New Roman" w:cs="Times New Roman"/>
          <w:lang w:val="id-ID"/>
        </w:rPr>
        <w:t xml:space="preserve"> </w:t>
      </w:r>
      <w:proofErr w:type="spellStart"/>
      <w:r w:rsidRPr="00C138DE">
        <w:rPr>
          <w:rFonts w:eastAsia="Times New Roman" w:cs="Times New Roman"/>
          <w:lang w:val="id-ID"/>
        </w:rPr>
        <w:t>cross-sectional</w:t>
      </w:r>
      <w:proofErr w:type="spellEnd"/>
      <w:r w:rsidRPr="00C138DE">
        <w:rPr>
          <w:rFonts w:eastAsia="Times New Roman" w:cs="Times New Roman"/>
          <w:lang w:val="id-ID"/>
        </w:rPr>
        <w:t xml:space="preserve"> study.</w:t>
      </w:r>
    </w:p>
    <w:p w14:paraId="4D34C56A" w14:textId="1AB48031" w:rsidR="00E24B88" w:rsidRPr="00C138DE" w:rsidRDefault="00E24B88" w:rsidP="00E24B88">
      <w:pPr>
        <w:ind w:left="284" w:right="288" w:firstLine="720"/>
        <w:jc w:val="both"/>
        <w:rPr>
          <w:rFonts w:eastAsia="Times New Roman" w:cs="Times New Roman"/>
          <w:lang w:val="id-ID"/>
        </w:rPr>
      </w:pPr>
      <w:r w:rsidRPr="00C138DE">
        <w:rPr>
          <w:rFonts w:eastAsia="Times New Roman" w:cs="Times New Roman"/>
          <w:lang w:val="id-ID"/>
        </w:rPr>
        <w:t xml:space="preserve">At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molecular</w:t>
      </w:r>
      <w:proofErr w:type="spellEnd"/>
      <w:r w:rsidRPr="00C138DE">
        <w:rPr>
          <w:rFonts w:eastAsia="Times New Roman" w:cs="Times New Roman"/>
          <w:lang w:val="id-ID"/>
        </w:rPr>
        <w:t xml:space="preserve"> level, </w:t>
      </w:r>
      <w:proofErr w:type="spellStart"/>
      <w:r w:rsidRPr="00C138DE">
        <w:rPr>
          <w:rFonts w:eastAsia="Times New Roman" w:cs="Times New Roman"/>
          <w:lang w:val="id-ID"/>
        </w:rPr>
        <w:t>these</w:t>
      </w:r>
      <w:proofErr w:type="spellEnd"/>
      <w:r w:rsidRPr="00C138DE">
        <w:rPr>
          <w:rFonts w:eastAsia="Times New Roman" w:cs="Times New Roman"/>
          <w:lang w:val="id-ID"/>
        </w:rPr>
        <w:t xml:space="preserve"> </w:t>
      </w:r>
      <w:proofErr w:type="spellStart"/>
      <w:r w:rsidRPr="00C138DE">
        <w:rPr>
          <w:rFonts w:eastAsia="Times New Roman" w:cs="Times New Roman"/>
          <w:lang w:val="id-ID"/>
        </w:rPr>
        <w:t>overlapping</w:t>
      </w:r>
      <w:proofErr w:type="spellEnd"/>
      <w:r w:rsidRPr="00C138DE">
        <w:rPr>
          <w:rFonts w:eastAsia="Times New Roman" w:cs="Times New Roman"/>
          <w:lang w:val="id-ID"/>
        </w:rPr>
        <w:t xml:space="preserve"> </w:t>
      </w:r>
      <w:proofErr w:type="spellStart"/>
      <w:r w:rsidRPr="00C138DE">
        <w:rPr>
          <w:rFonts w:eastAsia="Times New Roman" w:cs="Times New Roman"/>
          <w:lang w:val="id-ID"/>
        </w:rPr>
        <w:t>pathogenic</w:t>
      </w:r>
      <w:proofErr w:type="spellEnd"/>
      <w:r w:rsidRPr="00C138DE">
        <w:rPr>
          <w:rFonts w:eastAsia="Times New Roman" w:cs="Times New Roman"/>
          <w:lang w:val="id-ID"/>
        </w:rPr>
        <w:t xml:space="preserve"> </w:t>
      </w:r>
      <w:proofErr w:type="spellStart"/>
      <w:r w:rsidRPr="00C138DE">
        <w:rPr>
          <w:rFonts w:eastAsia="Times New Roman" w:cs="Times New Roman"/>
          <w:lang w:val="id-ID"/>
        </w:rPr>
        <w:t>circuits</w:t>
      </w:r>
      <w:proofErr w:type="spellEnd"/>
      <w:r w:rsidRPr="00C138DE">
        <w:rPr>
          <w:rFonts w:eastAsia="Times New Roman" w:cs="Times New Roman"/>
          <w:lang w:val="id-ID"/>
        </w:rPr>
        <w:t xml:space="preserve"> </w:t>
      </w:r>
      <w:proofErr w:type="spellStart"/>
      <w:r w:rsidRPr="00C138DE">
        <w:rPr>
          <w:rFonts w:eastAsia="Times New Roman" w:cs="Times New Roman"/>
          <w:lang w:val="id-ID"/>
        </w:rPr>
        <w:t>furnish</w:t>
      </w:r>
      <w:proofErr w:type="spellEnd"/>
      <w:r w:rsidRPr="00C138DE">
        <w:rPr>
          <w:rFonts w:eastAsia="Times New Roman" w:cs="Times New Roman"/>
          <w:lang w:val="id-ID"/>
        </w:rPr>
        <w:t xml:space="preserve"> a </w:t>
      </w:r>
      <w:proofErr w:type="spellStart"/>
      <w:r w:rsidRPr="00C138DE">
        <w:rPr>
          <w:rFonts w:eastAsia="Times New Roman" w:cs="Times New Roman"/>
          <w:lang w:val="id-ID"/>
        </w:rPr>
        <w:t>plausible</w:t>
      </w:r>
      <w:proofErr w:type="spellEnd"/>
      <w:r w:rsidRPr="00C138DE">
        <w:rPr>
          <w:rFonts w:eastAsia="Times New Roman" w:cs="Times New Roman"/>
          <w:lang w:val="id-ID"/>
        </w:rPr>
        <w:t xml:space="preserve"> </w:t>
      </w:r>
      <w:proofErr w:type="spellStart"/>
      <w:r w:rsidRPr="00C138DE">
        <w:rPr>
          <w:rFonts w:eastAsia="Times New Roman" w:cs="Times New Roman"/>
          <w:lang w:val="id-ID"/>
        </w:rPr>
        <w:t>scaffold</w:t>
      </w:r>
      <w:proofErr w:type="spellEnd"/>
      <w:r w:rsidRPr="00C138DE">
        <w:rPr>
          <w:rFonts w:eastAsia="Times New Roman" w:cs="Times New Roman"/>
          <w:lang w:val="id-ID"/>
        </w:rPr>
        <w:t xml:space="preserve"> </w:t>
      </w:r>
      <w:proofErr w:type="spellStart"/>
      <w:r w:rsidRPr="00C138DE">
        <w:rPr>
          <w:rFonts w:eastAsia="Times New Roman" w:cs="Times New Roman"/>
          <w:lang w:val="id-ID"/>
        </w:rPr>
        <w:t>for</w:t>
      </w:r>
      <w:proofErr w:type="spellEnd"/>
      <w:r w:rsidRPr="00C138DE">
        <w:rPr>
          <w:rFonts w:eastAsia="Times New Roman" w:cs="Times New Roman"/>
          <w:lang w:val="id-ID"/>
        </w:rPr>
        <w:t xml:space="preserve"> </w:t>
      </w:r>
      <w:proofErr w:type="spellStart"/>
      <w:r w:rsidRPr="00C138DE">
        <w:rPr>
          <w:rFonts w:eastAsia="Times New Roman" w:cs="Times New Roman"/>
          <w:lang w:val="id-ID"/>
        </w:rPr>
        <w:t>bidirectional</w:t>
      </w:r>
      <w:proofErr w:type="spellEnd"/>
      <w:r w:rsidRPr="00C138DE">
        <w:rPr>
          <w:rFonts w:eastAsia="Times New Roman" w:cs="Times New Roman"/>
          <w:lang w:val="id-ID"/>
        </w:rPr>
        <w:t xml:space="preserve"> </w:t>
      </w:r>
      <w:proofErr w:type="spellStart"/>
      <w:r w:rsidRPr="00C138DE">
        <w:rPr>
          <w:rFonts w:eastAsia="Times New Roman" w:cs="Times New Roman"/>
          <w:lang w:val="id-ID"/>
        </w:rPr>
        <w:t>causality</w:t>
      </w:r>
      <w:proofErr w:type="spellEnd"/>
      <w:r w:rsidRPr="00C138DE">
        <w:rPr>
          <w:rFonts w:eastAsia="Times New Roman" w:cs="Times New Roman"/>
          <w:lang w:val="id-ID"/>
        </w:rPr>
        <w:t xml:space="preserve"> </w:t>
      </w:r>
      <w:proofErr w:type="spellStart"/>
      <w:r w:rsidRPr="00C138DE">
        <w:rPr>
          <w:rFonts w:eastAsia="Times New Roman" w:cs="Times New Roman"/>
          <w:lang w:val="id-ID"/>
        </w:rPr>
        <w:t>between</w:t>
      </w:r>
      <w:proofErr w:type="spellEnd"/>
      <w:r w:rsidRPr="00C138DE">
        <w:rPr>
          <w:rFonts w:eastAsia="Times New Roman" w:cs="Times New Roman"/>
          <w:lang w:val="id-ID"/>
        </w:rPr>
        <w:t xml:space="preserve"> </w:t>
      </w:r>
      <w:proofErr w:type="spellStart"/>
      <w:r w:rsidRPr="00C138DE">
        <w:rPr>
          <w:rFonts w:eastAsia="Times New Roman" w:cs="Times New Roman"/>
          <w:lang w:val="id-ID"/>
        </w:rPr>
        <w:t>sarcopenia</w:t>
      </w:r>
      <w:proofErr w:type="spellEnd"/>
      <w:r w:rsidRPr="00C138DE">
        <w:rPr>
          <w:rFonts w:eastAsia="Times New Roman" w:cs="Times New Roman"/>
          <w:lang w:val="id-ID"/>
        </w:rPr>
        <w:t xml:space="preserve"> </w:t>
      </w:r>
      <w:proofErr w:type="spellStart"/>
      <w:r w:rsidRPr="00C138DE">
        <w:rPr>
          <w:rFonts w:eastAsia="Times New Roman" w:cs="Times New Roman"/>
          <w:lang w:val="id-ID"/>
        </w:rPr>
        <w:t>and</w:t>
      </w:r>
      <w:proofErr w:type="spellEnd"/>
      <w:r w:rsidRPr="00C138DE">
        <w:rPr>
          <w:rFonts w:eastAsia="Times New Roman" w:cs="Times New Roman"/>
          <w:lang w:val="id-ID"/>
        </w:rPr>
        <w:t xml:space="preserve"> </w:t>
      </w:r>
      <w:proofErr w:type="spellStart"/>
      <w:r w:rsidRPr="00C138DE">
        <w:rPr>
          <w:rFonts w:eastAsia="Times New Roman" w:cs="Times New Roman"/>
          <w:lang w:val="id-ID"/>
        </w:rPr>
        <w:t>cognitive</w:t>
      </w:r>
      <w:proofErr w:type="spellEnd"/>
      <w:r w:rsidRPr="00C138DE">
        <w:rPr>
          <w:rFonts w:eastAsia="Times New Roman" w:cs="Times New Roman"/>
          <w:lang w:val="id-ID"/>
        </w:rPr>
        <w:t xml:space="preserve"> </w:t>
      </w:r>
      <w:proofErr w:type="spellStart"/>
      <w:r w:rsidRPr="00C138DE">
        <w:rPr>
          <w:rFonts w:eastAsia="Times New Roman" w:cs="Times New Roman"/>
          <w:lang w:val="id-ID"/>
        </w:rPr>
        <w:t>decline</w:t>
      </w:r>
      <w:proofErr w:type="spellEnd"/>
      <w:r w:rsidRPr="00C138DE">
        <w:rPr>
          <w:rFonts w:eastAsia="Times New Roman" w:cs="Times New Roman"/>
          <w:lang w:val="id-ID"/>
        </w:rPr>
        <w:t xml:space="preserve">, </w:t>
      </w:r>
      <w:proofErr w:type="spellStart"/>
      <w:r w:rsidRPr="00C138DE">
        <w:rPr>
          <w:rFonts w:eastAsia="Times New Roman" w:cs="Times New Roman"/>
          <w:lang w:val="id-ID"/>
        </w:rPr>
        <w:t>an</w:t>
      </w:r>
      <w:proofErr w:type="spellEnd"/>
      <w:r w:rsidRPr="00C138DE">
        <w:rPr>
          <w:rFonts w:eastAsia="Times New Roman" w:cs="Times New Roman"/>
          <w:lang w:val="id-ID"/>
        </w:rPr>
        <w:t xml:space="preserve"> </w:t>
      </w:r>
      <w:proofErr w:type="spellStart"/>
      <w:r w:rsidRPr="00C138DE">
        <w:rPr>
          <w:rFonts w:eastAsia="Times New Roman" w:cs="Times New Roman"/>
          <w:lang w:val="id-ID"/>
        </w:rPr>
        <w:t>interrelationship</w:t>
      </w:r>
      <w:proofErr w:type="spellEnd"/>
      <w:r w:rsidRPr="00C138DE">
        <w:rPr>
          <w:rFonts w:eastAsia="Times New Roman" w:cs="Times New Roman"/>
          <w:lang w:val="id-ID"/>
        </w:rPr>
        <w:t xml:space="preserve"> </w:t>
      </w:r>
      <w:proofErr w:type="spellStart"/>
      <w:r w:rsidRPr="00C138DE">
        <w:rPr>
          <w:rFonts w:eastAsia="Times New Roman" w:cs="Times New Roman"/>
          <w:lang w:val="id-ID"/>
        </w:rPr>
        <w:t>substantiated</w:t>
      </w:r>
      <w:proofErr w:type="spellEnd"/>
      <w:r w:rsidRPr="00C138DE">
        <w:rPr>
          <w:rFonts w:eastAsia="Times New Roman" w:cs="Times New Roman"/>
          <w:lang w:val="id-ID"/>
        </w:rPr>
        <w:t xml:space="preserve"> </w:t>
      </w:r>
      <w:proofErr w:type="spellStart"/>
      <w:r w:rsidRPr="00C138DE">
        <w:rPr>
          <w:rFonts w:eastAsia="Times New Roman" w:cs="Times New Roman"/>
          <w:lang w:val="id-ID"/>
        </w:rPr>
        <w:t>by</w:t>
      </w:r>
      <w:proofErr w:type="spellEnd"/>
      <w:r w:rsidRPr="00C138DE">
        <w:rPr>
          <w:rFonts w:eastAsia="Times New Roman" w:cs="Times New Roman"/>
          <w:lang w:val="id-ID"/>
        </w:rPr>
        <w:t xml:space="preserve"> </w:t>
      </w:r>
      <w:proofErr w:type="spellStart"/>
      <w:r w:rsidRPr="00C138DE">
        <w:rPr>
          <w:rFonts w:eastAsia="Times New Roman" w:cs="Times New Roman"/>
          <w:lang w:val="id-ID"/>
        </w:rPr>
        <w:t>converging</w:t>
      </w:r>
      <w:proofErr w:type="spellEnd"/>
      <w:r w:rsidRPr="00C138DE">
        <w:rPr>
          <w:rFonts w:eastAsia="Times New Roman" w:cs="Times New Roman"/>
          <w:lang w:val="id-ID"/>
        </w:rPr>
        <w:t xml:space="preserve"> </w:t>
      </w:r>
      <w:proofErr w:type="spellStart"/>
      <w:r w:rsidRPr="00C138DE">
        <w:rPr>
          <w:rFonts w:eastAsia="Times New Roman" w:cs="Times New Roman"/>
          <w:lang w:val="id-ID"/>
        </w:rPr>
        <w:t>evidence</w:t>
      </w:r>
      <w:proofErr w:type="spellEnd"/>
      <w:r w:rsidRPr="00C138DE">
        <w:rPr>
          <w:rFonts w:eastAsia="Times New Roman" w:cs="Times New Roman"/>
          <w:lang w:val="id-ID"/>
        </w:rPr>
        <w:t xml:space="preserve"> </w:t>
      </w:r>
      <w:proofErr w:type="spellStart"/>
      <w:r w:rsidRPr="00C138DE">
        <w:rPr>
          <w:rFonts w:eastAsia="Times New Roman" w:cs="Times New Roman"/>
          <w:lang w:val="id-ID"/>
        </w:rPr>
        <w:t>from</w:t>
      </w:r>
      <w:proofErr w:type="spellEnd"/>
      <w:r w:rsidRPr="00C138DE">
        <w:rPr>
          <w:rFonts w:eastAsia="Times New Roman" w:cs="Times New Roman"/>
          <w:lang w:val="id-ID"/>
        </w:rPr>
        <w:t xml:space="preserve"> </w:t>
      </w:r>
      <w:proofErr w:type="spellStart"/>
      <w:r w:rsidRPr="00C138DE">
        <w:rPr>
          <w:rFonts w:eastAsia="Times New Roman" w:cs="Times New Roman"/>
          <w:lang w:val="id-ID"/>
        </w:rPr>
        <w:t>independent</w:t>
      </w:r>
      <w:proofErr w:type="spellEnd"/>
      <w:r w:rsidRPr="00C138DE">
        <w:rPr>
          <w:rFonts w:eastAsia="Times New Roman" w:cs="Times New Roman"/>
          <w:lang w:val="id-ID"/>
        </w:rPr>
        <w:t xml:space="preserve"> </w:t>
      </w:r>
      <w:proofErr w:type="spellStart"/>
      <w:r w:rsidRPr="00C138DE">
        <w:rPr>
          <w:rFonts w:eastAsia="Times New Roman" w:cs="Times New Roman"/>
          <w:lang w:val="id-ID"/>
        </w:rPr>
        <w:t>research</w:t>
      </w:r>
      <w:proofErr w:type="spellEnd"/>
      <w:r w:rsidRPr="00C138DE">
        <w:rPr>
          <w:rFonts w:eastAsia="Times New Roman" w:cs="Times New Roman"/>
          <w:lang w:val="id-ID"/>
        </w:rPr>
        <w:t xml:space="preserve"> </w:t>
      </w:r>
      <w:proofErr w:type="spellStart"/>
      <w:r w:rsidRPr="00C138DE">
        <w:rPr>
          <w:rFonts w:eastAsia="Times New Roman" w:cs="Times New Roman"/>
          <w:lang w:val="id-ID"/>
        </w:rPr>
        <w:t>programs</w:t>
      </w:r>
      <w:proofErr w:type="spellEnd"/>
      <w:r w:rsidRPr="00C138DE">
        <w:rPr>
          <w:rFonts w:eastAsia="Times New Roman" w:cs="Times New Roman"/>
          <w:lang w:val="id-ID"/>
        </w:rPr>
        <w:t xml:space="preserve">. As </w:t>
      </w:r>
      <w:proofErr w:type="spellStart"/>
      <w:r w:rsidRPr="00C138DE">
        <w:rPr>
          <w:rFonts w:eastAsia="Times New Roman" w:cs="Times New Roman"/>
          <w:lang w:val="id-ID"/>
        </w:rPr>
        <w:t>skeletal</w:t>
      </w:r>
      <w:proofErr w:type="spellEnd"/>
      <w:r w:rsidRPr="00C138DE">
        <w:rPr>
          <w:rFonts w:eastAsia="Times New Roman" w:cs="Times New Roman"/>
          <w:lang w:val="id-ID"/>
        </w:rPr>
        <w:t xml:space="preserve"> </w:t>
      </w:r>
      <w:proofErr w:type="spellStart"/>
      <w:r w:rsidRPr="00C138DE">
        <w:rPr>
          <w:rFonts w:eastAsia="Times New Roman" w:cs="Times New Roman"/>
          <w:lang w:val="id-ID"/>
        </w:rPr>
        <w:t>muscle</w:t>
      </w:r>
      <w:proofErr w:type="spellEnd"/>
      <w:r w:rsidRPr="00C138DE">
        <w:rPr>
          <w:rFonts w:eastAsia="Times New Roman" w:cs="Times New Roman"/>
          <w:lang w:val="id-ID"/>
        </w:rPr>
        <w:t xml:space="preserve"> </w:t>
      </w:r>
      <w:proofErr w:type="spellStart"/>
      <w:r w:rsidRPr="00C138DE">
        <w:rPr>
          <w:rFonts w:eastAsia="Times New Roman" w:cs="Times New Roman"/>
          <w:lang w:val="id-ID"/>
        </w:rPr>
        <w:t>mass</w:t>
      </w:r>
      <w:proofErr w:type="spellEnd"/>
      <w:r w:rsidRPr="00C138DE">
        <w:rPr>
          <w:rFonts w:eastAsia="Times New Roman" w:cs="Times New Roman"/>
          <w:lang w:val="id-ID"/>
        </w:rPr>
        <w:t xml:space="preserve"> </w:t>
      </w:r>
      <w:proofErr w:type="spellStart"/>
      <w:r w:rsidRPr="00C138DE">
        <w:rPr>
          <w:rFonts w:eastAsia="Times New Roman" w:cs="Times New Roman"/>
          <w:lang w:val="id-ID"/>
        </w:rPr>
        <w:t>progressively</w:t>
      </w:r>
      <w:proofErr w:type="spellEnd"/>
      <w:r w:rsidRPr="00C138DE">
        <w:rPr>
          <w:rFonts w:eastAsia="Times New Roman" w:cs="Times New Roman"/>
          <w:lang w:val="id-ID"/>
        </w:rPr>
        <w:t xml:space="preserve"> </w:t>
      </w:r>
      <w:proofErr w:type="spellStart"/>
      <w:r w:rsidRPr="00C138DE">
        <w:rPr>
          <w:rFonts w:eastAsia="Times New Roman" w:cs="Times New Roman"/>
          <w:lang w:val="id-ID"/>
        </w:rPr>
        <w:t>diminishes</w:t>
      </w:r>
      <w:proofErr w:type="spellEnd"/>
      <w:r w:rsidRPr="00C138DE">
        <w:rPr>
          <w:rFonts w:eastAsia="Times New Roman" w:cs="Times New Roman"/>
          <w:lang w:val="id-ID"/>
        </w:rPr>
        <w:t xml:space="preserve"> in </w:t>
      </w:r>
      <w:proofErr w:type="spellStart"/>
      <w:r w:rsidRPr="00C138DE">
        <w:rPr>
          <w:rFonts w:eastAsia="Times New Roman" w:cs="Times New Roman"/>
          <w:lang w:val="id-ID"/>
        </w:rPr>
        <w:t>sarcopenia</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tissue’s</w:t>
      </w:r>
      <w:proofErr w:type="spellEnd"/>
      <w:r w:rsidRPr="00C138DE">
        <w:rPr>
          <w:rFonts w:eastAsia="Times New Roman" w:cs="Times New Roman"/>
          <w:lang w:val="id-ID"/>
        </w:rPr>
        <w:t xml:space="preserve"> </w:t>
      </w:r>
      <w:proofErr w:type="spellStart"/>
      <w:r w:rsidRPr="00C138DE">
        <w:rPr>
          <w:rFonts w:eastAsia="Times New Roman" w:cs="Times New Roman"/>
          <w:lang w:val="id-ID"/>
        </w:rPr>
        <w:t>capacity</w:t>
      </w:r>
      <w:proofErr w:type="spellEnd"/>
      <w:r w:rsidRPr="00C138DE">
        <w:rPr>
          <w:rFonts w:eastAsia="Times New Roman" w:cs="Times New Roman"/>
          <w:lang w:val="id-ID"/>
        </w:rPr>
        <w:t xml:space="preserve"> </w:t>
      </w:r>
      <w:proofErr w:type="spellStart"/>
      <w:r w:rsidRPr="00C138DE">
        <w:rPr>
          <w:rFonts w:eastAsia="Times New Roman" w:cs="Times New Roman"/>
          <w:lang w:val="id-ID"/>
        </w:rPr>
        <w:t>to</w:t>
      </w:r>
      <w:proofErr w:type="spellEnd"/>
      <w:r w:rsidRPr="00C138DE">
        <w:rPr>
          <w:rFonts w:eastAsia="Times New Roman" w:cs="Times New Roman"/>
          <w:lang w:val="id-ID"/>
        </w:rPr>
        <w:t xml:space="preserve"> </w:t>
      </w:r>
      <w:proofErr w:type="spellStart"/>
      <w:r w:rsidRPr="00C138DE">
        <w:rPr>
          <w:rFonts w:eastAsia="Times New Roman" w:cs="Times New Roman"/>
          <w:lang w:val="id-ID"/>
        </w:rPr>
        <w:t>elaborate</w:t>
      </w:r>
      <w:proofErr w:type="spellEnd"/>
      <w:r w:rsidRPr="00C138DE">
        <w:rPr>
          <w:rFonts w:eastAsia="Times New Roman" w:cs="Times New Roman"/>
          <w:lang w:val="id-ID"/>
        </w:rPr>
        <w:t xml:space="preserve"> </w:t>
      </w:r>
      <w:proofErr w:type="spellStart"/>
      <w:r w:rsidRPr="00C138DE">
        <w:rPr>
          <w:rFonts w:eastAsia="Times New Roman" w:cs="Times New Roman"/>
          <w:lang w:val="id-ID"/>
        </w:rPr>
        <w:t>myokines</w:t>
      </w:r>
      <w:proofErr w:type="spellEnd"/>
      <w:r w:rsidRPr="00C138DE">
        <w:rPr>
          <w:rFonts w:eastAsia="Times New Roman" w:cs="Times New Roman"/>
          <w:lang w:val="id-ID"/>
        </w:rPr>
        <w:t xml:space="preserve">, </w:t>
      </w:r>
      <w:proofErr w:type="spellStart"/>
      <w:r w:rsidRPr="00C138DE">
        <w:rPr>
          <w:rFonts w:eastAsia="Times New Roman" w:cs="Times New Roman"/>
          <w:lang w:val="id-ID"/>
        </w:rPr>
        <w:t>contraction-induced</w:t>
      </w:r>
      <w:proofErr w:type="spellEnd"/>
      <w:r w:rsidRPr="00C138DE">
        <w:rPr>
          <w:rFonts w:eastAsia="Times New Roman" w:cs="Times New Roman"/>
          <w:lang w:val="id-ID"/>
        </w:rPr>
        <w:t xml:space="preserve"> </w:t>
      </w:r>
      <w:proofErr w:type="spellStart"/>
      <w:r w:rsidRPr="00C138DE">
        <w:rPr>
          <w:rFonts w:eastAsia="Times New Roman" w:cs="Times New Roman"/>
          <w:lang w:val="id-ID"/>
        </w:rPr>
        <w:t>peptide</w:t>
      </w:r>
      <w:proofErr w:type="spellEnd"/>
      <w:r w:rsidRPr="00C138DE">
        <w:rPr>
          <w:rFonts w:eastAsia="Times New Roman" w:cs="Times New Roman"/>
          <w:lang w:val="id-ID"/>
        </w:rPr>
        <w:t xml:space="preserve"> </w:t>
      </w:r>
      <w:proofErr w:type="spellStart"/>
      <w:r w:rsidRPr="00C138DE">
        <w:rPr>
          <w:rFonts w:eastAsia="Times New Roman" w:cs="Times New Roman"/>
          <w:lang w:val="id-ID"/>
        </w:rPr>
        <w:t>signals</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that</w:t>
      </w:r>
      <w:proofErr w:type="spellEnd"/>
      <w:r w:rsidRPr="00C138DE">
        <w:rPr>
          <w:rFonts w:eastAsia="Times New Roman" w:cs="Times New Roman"/>
          <w:lang w:val="id-ID"/>
        </w:rPr>
        <w:t xml:space="preserve"> </w:t>
      </w:r>
      <w:proofErr w:type="spellStart"/>
      <w:r w:rsidRPr="00C138DE">
        <w:rPr>
          <w:rFonts w:eastAsia="Times New Roman" w:cs="Times New Roman"/>
          <w:lang w:val="id-ID"/>
        </w:rPr>
        <w:t>traverse</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circulation</w:t>
      </w:r>
      <w:proofErr w:type="spellEnd"/>
      <w:r w:rsidRPr="00C138DE">
        <w:rPr>
          <w:rFonts w:eastAsia="Times New Roman" w:cs="Times New Roman"/>
          <w:lang w:val="id-ID"/>
        </w:rPr>
        <w:t xml:space="preserve"> </w:t>
      </w:r>
      <w:proofErr w:type="spellStart"/>
      <w:r w:rsidRPr="00C138DE">
        <w:rPr>
          <w:rFonts w:eastAsia="Times New Roman" w:cs="Times New Roman"/>
          <w:lang w:val="id-ID"/>
        </w:rPr>
        <w:t>and</w:t>
      </w:r>
      <w:proofErr w:type="spellEnd"/>
      <w:r w:rsidRPr="00C138DE">
        <w:rPr>
          <w:rFonts w:eastAsia="Times New Roman" w:cs="Times New Roman"/>
          <w:lang w:val="id-ID"/>
        </w:rPr>
        <w:t xml:space="preserve"> </w:t>
      </w:r>
      <w:proofErr w:type="spellStart"/>
      <w:r w:rsidRPr="00C138DE">
        <w:rPr>
          <w:rFonts w:eastAsia="Times New Roman" w:cs="Times New Roman"/>
          <w:lang w:val="id-ID"/>
        </w:rPr>
        <w:t>modulate</w:t>
      </w:r>
      <w:proofErr w:type="spellEnd"/>
      <w:r w:rsidRPr="00C138DE">
        <w:rPr>
          <w:rFonts w:eastAsia="Times New Roman" w:cs="Times New Roman"/>
          <w:lang w:val="id-ID"/>
        </w:rPr>
        <w:t xml:space="preserve"> </w:t>
      </w:r>
      <w:proofErr w:type="spellStart"/>
      <w:r w:rsidRPr="00C138DE">
        <w:rPr>
          <w:rFonts w:eastAsia="Times New Roman" w:cs="Times New Roman"/>
          <w:lang w:val="id-ID"/>
        </w:rPr>
        <w:t>neuronal</w:t>
      </w:r>
      <w:proofErr w:type="spellEnd"/>
      <w:r w:rsidRPr="00C138DE">
        <w:rPr>
          <w:rFonts w:eastAsia="Times New Roman" w:cs="Times New Roman"/>
          <w:lang w:val="id-ID"/>
        </w:rPr>
        <w:t xml:space="preserve"> homeostasis, </w:t>
      </w:r>
      <w:proofErr w:type="spellStart"/>
      <w:r w:rsidRPr="00C138DE">
        <w:rPr>
          <w:rFonts w:eastAsia="Times New Roman" w:cs="Times New Roman"/>
          <w:lang w:val="id-ID"/>
        </w:rPr>
        <w:t>is</w:t>
      </w:r>
      <w:proofErr w:type="spellEnd"/>
      <w:r w:rsidRPr="00C138DE">
        <w:rPr>
          <w:rFonts w:eastAsia="Times New Roman" w:cs="Times New Roman"/>
          <w:lang w:val="id-ID"/>
        </w:rPr>
        <w:t xml:space="preserve"> </w:t>
      </w:r>
      <w:proofErr w:type="spellStart"/>
      <w:r w:rsidRPr="00C138DE">
        <w:rPr>
          <w:rFonts w:eastAsia="Times New Roman" w:cs="Times New Roman"/>
          <w:lang w:val="id-ID"/>
        </w:rPr>
        <w:t>proportionally</w:t>
      </w:r>
      <w:proofErr w:type="spellEnd"/>
      <w:r w:rsidRPr="00C138DE">
        <w:rPr>
          <w:rFonts w:eastAsia="Times New Roman" w:cs="Times New Roman"/>
          <w:lang w:val="id-ID"/>
        </w:rPr>
        <w:t xml:space="preserve"> </w:t>
      </w:r>
      <w:proofErr w:type="spellStart"/>
      <w:r w:rsidRPr="00C138DE">
        <w:rPr>
          <w:rFonts w:eastAsia="Times New Roman" w:cs="Times New Roman"/>
          <w:lang w:val="id-ID"/>
        </w:rPr>
        <w:t>curtailed</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thereby</w:t>
      </w:r>
      <w:proofErr w:type="spellEnd"/>
      <w:r w:rsidRPr="00C138DE">
        <w:rPr>
          <w:rFonts w:eastAsia="Times New Roman" w:cs="Times New Roman"/>
          <w:lang w:val="id-ID"/>
        </w:rPr>
        <w:t xml:space="preserve"> </w:t>
      </w:r>
      <w:proofErr w:type="spellStart"/>
      <w:r w:rsidRPr="00C138DE">
        <w:rPr>
          <w:rFonts w:eastAsia="Times New Roman" w:cs="Times New Roman"/>
          <w:lang w:val="id-ID"/>
        </w:rPr>
        <w:t>weakening</w:t>
      </w:r>
      <w:proofErr w:type="spellEnd"/>
      <w:r w:rsidRPr="00C138DE">
        <w:rPr>
          <w:rFonts w:eastAsia="Times New Roman" w:cs="Times New Roman"/>
          <w:lang w:val="id-ID"/>
        </w:rPr>
        <w:t xml:space="preserve"> a </w:t>
      </w:r>
      <w:proofErr w:type="spellStart"/>
      <w:r w:rsidRPr="00C138DE">
        <w:rPr>
          <w:rFonts w:eastAsia="Times New Roman" w:cs="Times New Roman"/>
          <w:lang w:val="id-ID"/>
        </w:rPr>
        <w:t>key</w:t>
      </w:r>
      <w:proofErr w:type="spellEnd"/>
      <w:r w:rsidRPr="00C138DE">
        <w:rPr>
          <w:rFonts w:eastAsia="Times New Roman" w:cs="Times New Roman"/>
          <w:lang w:val="id-ID"/>
        </w:rPr>
        <w:t xml:space="preserve"> </w:t>
      </w:r>
      <w:proofErr w:type="spellStart"/>
      <w:r w:rsidRPr="00C138DE">
        <w:rPr>
          <w:rFonts w:eastAsia="Times New Roman" w:cs="Times New Roman"/>
          <w:lang w:val="id-ID"/>
        </w:rPr>
        <w:t>humoral</w:t>
      </w:r>
      <w:proofErr w:type="spellEnd"/>
      <w:r w:rsidRPr="00C138DE">
        <w:rPr>
          <w:rFonts w:eastAsia="Times New Roman" w:cs="Times New Roman"/>
          <w:lang w:val="id-ID"/>
        </w:rPr>
        <w:t xml:space="preserve"> </w:t>
      </w:r>
      <w:proofErr w:type="spellStart"/>
      <w:r w:rsidRPr="00C138DE">
        <w:rPr>
          <w:rFonts w:eastAsia="Times New Roman" w:cs="Times New Roman"/>
          <w:lang w:val="id-ID"/>
        </w:rPr>
        <w:t>conduit</w:t>
      </w:r>
      <w:proofErr w:type="spellEnd"/>
      <w:r w:rsidRPr="00C138DE">
        <w:rPr>
          <w:rFonts w:eastAsia="Times New Roman" w:cs="Times New Roman"/>
          <w:lang w:val="id-ID"/>
        </w:rPr>
        <w:t xml:space="preserve"> </w:t>
      </w:r>
      <w:proofErr w:type="spellStart"/>
      <w:r w:rsidRPr="00C138DE">
        <w:rPr>
          <w:rFonts w:eastAsia="Times New Roman" w:cs="Times New Roman"/>
          <w:lang w:val="id-ID"/>
        </w:rPr>
        <w:t>of</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muscle</w:t>
      </w:r>
      <w:proofErr w:type="spellEnd"/>
      <w:r w:rsidRPr="00C138DE">
        <w:rPr>
          <w:rFonts w:eastAsia="Times New Roman" w:cs="Times New Roman"/>
          <w:lang w:val="id-ID"/>
        </w:rPr>
        <w:t>–</w:t>
      </w:r>
      <w:proofErr w:type="spellStart"/>
      <w:r w:rsidRPr="00C138DE">
        <w:rPr>
          <w:rFonts w:eastAsia="Times New Roman" w:cs="Times New Roman"/>
          <w:lang w:val="id-ID"/>
        </w:rPr>
        <w:t>brain</w:t>
      </w:r>
      <w:proofErr w:type="spellEnd"/>
      <w:r w:rsidRPr="00C138DE">
        <w:rPr>
          <w:rFonts w:eastAsia="Times New Roman" w:cs="Times New Roman"/>
          <w:lang w:val="id-ID"/>
        </w:rPr>
        <w:t xml:space="preserve"> </w:t>
      </w:r>
      <w:proofErr w:type="spellStart"/>
      <w:r w:rsidRPr="00C138DE">
        <w:rPr>
          <w:rFonts w:eastAsia="Times New Roman" w:cs="Times New Roman"/>
          <w:lang w:val="id-ID"/>
        </w:rPr>
        <w:t>axis</w:t>
      </w:r>
      <w:proofErr w:type="spellEnd"/>
      <w:r w:rsidRPr="00C138DE">
        <w:rPr>
          <w:rFonts w:eastAsia="Times New Roman" w:cs="Times New Roman"/>
          <w:lang w:val="id-ID"/>
        </w:rPr>
        <w:t xml:space="preserve"> </w:t>
      </w:r>
      <w:proofErr w:type="spellStart"/>
      <w:r w:rsidRPr="00C138DE">
        <w:rPr>
          <w:rFonts w:eastAsia="Times New Roman" w:cs="Times New Roman"/>
          <w:lang w:val="id-ID"/>
        </w:rPr>
        <w:t>and</w:t>
      </w:r>
      <w:proofErr w:type="spellEnd"/>
      <w:r w:rsidRPr="00C138DE">
        <w:rPr>
          <w:rFonts w:eastAsia="Times New Roman" w:cs="Times New Roman"/>
          <w:lang w:val="id-ID"/>
        </w:rPr>
        <w:t xml:space="preserve"> </w:t>
      </w:r>
      <w:proofErr w:type="spellStart"/>
      <w:r w:rsidRPr="00C138DE">
        <w:rPr>
          <w:rFonts w:eastAsia="Times New Roman" w:cs="Times New Roman"/>
          <w:lang w:val="id-ID"/>
        </w:rPr>
        <w:t>eroding</w:t>
      </w:r>
      <w:proofErr w:type="spellEnd"/>
      <w:r w:rsidRPr="00C138DE">
        <w:rPr>
          <w:rFonts w:eastAsia="Times New Roman" w:cs="Times New Roman"/>
          <w:lang w:val="id-ID"/>
        </w:rPr>
        <w:t xml:space="preserve"> </w:t>
      </w:r>
      <w:proofErr w:type="spellStart"/>
      <w:r w:rsidRPr="00C138DE">
        <w:rPr>
          <w:rFonts w:eastAsia="Times New Roman" w:cs="Times New Roman"/>
          <w:lang w:val="id-ID"/>
        </w:rPr>
        <w:t>neurocognitive</w:t>
      </w:r>
      <w:proofErr w:type="spellEnd"/>
      <w:r w:rsidRPr="00C138DE">
        <w:rPr>
          <w:rFonts w:eastAsia="Times New Roman" w:cs="Times New Roman"/>
          <w:lang w:val="id-ID"/>
        </w:rPr>
        <w:t xml:space="preserve"> </w:t>
      </w:r>
      <w:proofErr w:type="spellStart"/>
      <w:r w:rsidRPr="00C138DE">
        <w:rPr>
          <w:rFonts w:eastAsia="Times New Roman" w:cs="Times New Roman"/>
          <w:lang w:val="id-ID"/>
        </w:rPr>
        <w:t>reserves</w:t>
      </w:r>
      <w:proofErr w:type="spellEnd"/>
      <w:r w:rsidRPr="00C138DE">
        <w:rPr>
          <w:rFonts w:eastAsia="Times New Roman" w:cs="Times New Roman"/>
          <w:lang w:val="id-ID"/>
        </w:rPr>
        <w:t xml:space="preserve"> </w:t>
      </w:r>
      <w:hyperlink w:anchor="Lu" w:history="1">
        <w:r w:rsidRPr="00C138DE">
          <w:rPr>
            <w:rStyle w:val="Hyperlink"/>
            <w:rFonts w:eastAsia="Times New Roman" w:cs="Times New Roman"/>
            <w:u w:val="none"/>
            <w:lang w:val="id-ID"/>
          </w:rPr>
          <w:t xml:space="preserve">(Lu </w:t>
        </w:r>
        <w:proofErr w:type="spellStart"/>
        <w:r w:rsidRPr="00C138DE">
          <w:rPr>
            <w:rStyle w:val="Hyperlink"/>
            <w:rFonts w:eastAsia="Times New Roman" w:cs="Times New Roman"/>
            <w:u w:val="none"/>
            <w:lang w:val="id-ID"/>
          </w:rPr>
          <w:t>et</w:t>
        </w:r>
        <w:proofErr w:type="spellEnd"/>
        <w:r w:rsidRPr="00C138DE">
          <w:rPr>
            <w:rStyle w:val="Hyperlink"/>
            <w:rFonts w:eastAsia="Times New Roman" w:cs="Times New Roman"/>
            <w:u w:val="none"/>
            <w:lang w:val="id-ID"/>
          </w:rPr>
          <w:t xml:space="preserve"> </w:t>
        </w:r>
        <w:proofErr w:type="spellStart"/>
        <w:r w:rsidRPr="00C138DE">
          <w:rPr>
            <w:rStyle w:val="Hyperlink"/>
            <w:rFonts w:eastAsia="Times New Roman" w:cs="Times New Roman"/>
            <w:u w:val="none"/>
            <w:lang w:val="id-ID"/>
          </w:rPr>
          <w:t>al.</w:t>
        </w:r>
        <w:proofErr w:type="spellEnd"/>
        <w:r w:rsidRPr="00C138DE">
          <w:rPr>
            <w:rStyle w:val="Hyperlink"/>
            <w:rFonts w:eastAsia="Times New Roman" w:cs="Times New Roman"/>
            <w:u w:val="none"/>
            <w:lang w:val="id-ID"/>
          </w:rPr>
          <w:t>, 2024)</w:t>
        </w:r>
      </w:hyperlink>
      <w:r w:rsidRPr="00C138DE">
        <w:rPr>
          <w:rFonts w:eastAsia="Times New Roman" w:cs="Times New Roman"/>
          <w:lang w:val="id-ID"/>
        </w:rPr>
        <w:t xml:space="preserve">. A </w:t>
      </w:r>
      <w:proofErr w:type="spellStart"/>
      <w:r w:rsidRPr="00C138DE">
        <w:rPr>
          <w:rFonts w:eastAsia="Times New Roman" w:cs="Times New Roman"/>
          <w:lang w:val="id-ID"/>
        </w:rPr>
        <w:t>consequent</w:t>
      </w:r>
      <w:proofErr w:type="spellEnd"/>
      <w:r w:rsidRPr="00C138DE">
        <w:rPr>
          <w:rFonts w:eastAsia="Times New Roman" w:cs="Times New Roman"/>
          <w:lang w:val="id-ID"/>
        </w:rPr>
        <w:t xml:space="preserve"> </w:t>
      </w:r>
      <w:proofErr w:type="spellStart"/>
      <w:r w:rsidRPr="00C138DE">
        <w:rPr>
          <w:rFonts w:eastAsia="Times New Roman" w:cs="Times New Roman"/>
          <w:lang w:val="id-ID"/>
        </w:rPr>
        <w:t>deficit</w:t>
      </w:r>
      <w:proofErr w:type="spellEnd"/>
      <w:r w:rsidRPr="00C138DE">
        <w:rPr>
          <w:rFonts w:eastAsia="Times New Roman" w:cs="Times New Roman"/>
          <w:lang w:val="id-ID"/>
        </w:rPr>
        <w:t xml:space="preserve"> in </w:t>
      </w:r>
      <w:proofErr w:type="spellStart"/>
      <w:r w:rsidRPr="00C138DE">
        <w:rPr>
          <w:rFonts w:eastAsia="Times New Roman" w:cs="Times New Roman"/>
          <w:lang w:val="id-ID"/>
        </w:rPr>
        <w:t>these</w:t>
      </w:r>
      <w:proofErr w:type="spellEnd"/>
      <w:r w:rsidRPr="00C138DE">
        <w:rPr>
          <w:rFonts w:eastAsia="Times New Roman" w:cs="Times New Roman"/>
          <w:lang w:val="id-ID"/>
        </w:rPr>
        <w:t xml:space="preserve"> </w:t>
      </w:r>
      <w:proofErr w:type="spellStart"/>
      <w:r w:rsidRPr="00C138DE">
        <w:rPr>
          <w:rFonts w:eastAsia="Times New Roman" w:cs="Times New Roman"/>
          <w:lang w:val="id-ID"/>
        </w:rPr>
        <w:t>myokine</w:t>
      </w:r>
      <w:proofErr w:type="spellEnd"/>
      <w:r w:rsidRPr="00C138DE">
        <w:rPr>
          <w:rFonts w:eastAsia="Times New Roman" w:cs="Times New Roman"/>
          <w:lang w:val="id-ID"/>
        </w:rPr>
        <w:t xml:space="preserve"> </w:t>
      </w:r>
      <w:proofErr w:type="spellStart"/>
      <w:r w:rsidRPr="00C138DE">
        <w:rPr>
          <w:rFonts w:eastAsia="Times New Roman" w:cs="Times New Roman"/>
          <w:lang w:val="id-ID"/>
        </w:rPr>
        <w:t>mediators</w:t>
      </w:r>
      <w:proofErr w:type="spellEnd"/>
      <w:r w:rsidRPr="00C138DE">
        <w:rPr>
          <w:rFonts w:eastAsia="Times New Roman" w:cs="Times New Roman"/>
          <w:lang w:val="id-ID"/>
        </w:rPr>
        <w:t xml:space="preserve"> </w:t>
      </w:r>
      <w:proofErr w:type="spellStart"/>
      <w:r w:rsidRPr="00C138DE">
        <w:rPr>
          <w:rFonts w:eastAsia="Times New Roman" w:cs="Times New Roman"/>
          <w:lang w:val="id-ID"/>
        </w:rPr>
        <w:t>may</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thus</w:t>
      </w:r>
      <w:proofErr w:type="spellEnd"/>
      <w:r w:rsidRPr="00C138DE">
        <w:rPr>
          <w:rFonts w:eastAsia="Times New Roman" w:cs="Times New Roman"/>
          <w:lang w:val="id-ID"/>
        </w:rPr>
        <w:t xml:space="preserve"> </w:t>
      </w:r>
      <w:proofErr w:type="spellStart"/>
      <w:r w:rsidRPr="00C138DE">
        <w:rPr>
          <w:rFonts w:eastAsia="Times New Roman" w:cs="Times New Roman"/>
          <w:lang w:val="id-ID"/>
        </w:rPr>
        <w:t>establish</w:t>
      </w:r>
      <w:proofErr w:type="spellEnd"/>
      <w:r w:rsidRPr="00C138DE">
        <w:rPr>
          <w:rFonts w:eastAsia="Times New Roman" w:cs="Times New Roman"/>
          <w:lang w:val="id-ID"/>
        </w:rPr>
        <w:t xml:space="preserve"> </w:t>
      </w:r>
      <w:proofErr w:type="spellStart"/>
      <w:r w:rsidRPr="00C138DE">
        <w:rPr>
          <w:rFonts w:eastAsia="Times New Roman" w:cs="Times New Roman"/>
          <w:lang w:val="id-ID"/>
        </w:rPr>
        <w:t>permissive</w:t>
      </w:r>
      <w:proofErr w:type="spellEnd"/>
      <w:r w:rsidRPr="00C138DE">
        <w:rPr>
          <w:rFonts w:eastAsia="Times New Roman" w:cs="Times New Roman"/>
          <w:lang w:val="id-ID"/>
        </w:rPr>
        <w:t xml:space="preserve"> </w:t>
      </w:r>
      <w:proofErr w:type="spellStart"/>
      <w:r w:rsidRPr="00C138DE">
        <w:rPr>
          <w:rFonts w:eastAsia="Times New Roman" w:cs="Times New Roman"/>
          <w:lang w:val="id-ID"/>
        </w:rPr>
        <w:t>conditions</w:t>
      </w:r>
      <w:proofErr w:type="spellEnd"/>
      <w:r w:rsidRPr="00C138DE">
        <w:rPr>
          <w:rFonts w:eastAsia="Times New Roman" w:cs="Times New Roman"/>
          <w:lang w:val="id-ID"/>
        </w:rPr>
        <w:t xml:space="preserve"> </w:t>
      </w:r>
      <w:proofErr w:type="spellStart"/>
      <w:r w:rsidRPr="00C138DE">
        <w:rPr>
          <w:rFonts w:eastAsia="Times New Roman" w:cs="Times New Roman"/>
          <w:lang w:val="id-ID"/>
        </w:rPr>
        <w:t>for</w:t>
      </w:r>
      <w:proofErr w:type="spellEnd"/>
      <w:r w:rsidRPr="00C138DE">
        <w:rPr>
          <w:rFonts w:eastAsia="Times New Roman" w:cs="Times New Roman"/>
          <w:lang w:val="id-ID"/>
        </w:rPr>
        <w:t xml:space="preserve"> </w:t>
      </w:r>
      <w:proofErr w:type="spellStart"/>
      <w:r w:rsidRPr="00C138DE">
        <w:rPr>
          <w:rFonts w:eastAsia="Times New Roman" w:cs="Times New Roman"/>
          <w:lang w:val="id-ID"/>
        </w:rPr>
        <w:t>neurocognitive</w:t>
      </w:r>
      <w:proofErr w:type="spellEnd"/>
      <w:r w:rsidRPr="00C138DE">
        <w:rPr>
          <w:rFonts w:eastAsia="Times New Roman" w:cs="Times New Roman"/>
          <w:lang w:val="id-ID"/>
        </w:rPr>
        <w:t xml:space="preserve"> </w:t>
      </w:r>
      <w:proofErr w:type="spellStart"/>
      <w:r w:rsidRPr="00C138DE">
        <w:rPr>
          <w:rFonts w:eastAsia="Times New Roman" w:cs="Times New Roman"/>
          <w:lang w:val="id-ID"/>
        </w:rPr>
        <w:t>deterioration</w:t>
      </w:r>
      <w:proofErr w:type="spellEnd"/>
      <w:r w:rsidRPr="00C138DE">
        <w:rPr>
          <w:rFonts w:eastAsia="Times New Roman" w:cs="Times New Roman"/>
          <w:lang w:val="id-ID"/>
        </w:rPr>
        <w:t xml:space="preserve">. </w:t>
      </w:r>
      <w:proofErr w:type="spellStart"/>
      <w:r w:rsidRPr="00C138DE">
        <w:rPr>
          <w:rFonts w:eastAsia="Times New Roman" w:cs="Times New Roman"/>
          <w:lang w:val="id-ID"/>
        </w:rPr>
        <w:t>Compounding</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this</w:t>
      </w:r>
      <w:proofErr w:type="spellEnd"/>
      <w:r w:rsidRPr="00C138DE">
        <w:rPr>
          <w:rFonts w:eastAsia="Times New Roman" w:cs="Times New Roman"/>
          <w:lang w:val="id-ID"/>
        </w:rPr>
        <w:t xml:space="preserve"> </w:t>
      </w:r>
      <w:proofErr w:type="spellStart"/>
      <w:r w:rsidRPr="00C138DE">
        <w:rPr>
          <w:rFonts w:eastAsia="Times New Roman" w:cs="Times New Roman"/>
          <w:lang w:val="id-ID"/>
        </w:rPr>
        <w:t>effect</w:t>
      </w:r>
      <w:proofErr w:type="spellEnd"/>
      <w:r w:rsidRPr="00C138DE">
        <w:rPr>
          <w:rFonts w:eastAsia="Times New Roman" w:cs="Times New Roman"/>
          <w:lang w:val="id-ID"/>
        </w:rPr>
        <w:t xml:space="preserve">, </w:t>
      </w:r>
      <w:proofErr w:type="spellStart"/>
      <w:r w:rsidRPr="00C138DE">
        <w:rPr>
          <w:rFonts w:eastAsia="Times New Roman" w:cs="Times New Roman"/>
          <w:lang w:val="id-ID"/>
        </w:rPr>
        <w:t>habitual</w:t>
      </w:r>
      <w:proofErr w:type="spellEnd"/>
      <w:r w:rsidRPr="00C138DE">
        <w:rPr>
          <w:rFonts w:eastAsia="Times New Roman" w:cs="Times New Roman"/>
          <w:lang w:val="id-ID"/>
        </w:rPr>
        <w:t xml:space="preserve"> </w:t>
      </w:r>
      <w:proofErr w:type="spellStart"/>
      <w:r w:rsidRPr="00C138DE">
        <w:rPr>
          <w:rFonts w:eastAsia="Times New Roman" w:cs="Times New Roman"/>
          <w:lang w:val="id-ID"/>
        </w:rPr>
        <w:t>muscular</w:t>
      </w:r>
      <w:proofErr w:type="spellEnd"/>
      <w:r w:rsidRPr="00C138DE">
        <w:rPr>
          <w:rFonts w:eastAsia="Times New Roman" w:cs="Times New Roman"/>
          <w:lang w:val="id-ID"/>
        </w:rPr>
        <w:t xml:space="preserve"> </w:t>
      </w:r>
      <w:proofErr w:type="spellStart"/>
      <w:r w:rsidRPr="00C138DE">
        <w:rPr>
          <w:rFonts w:eastAsia="Times New Roman" w:cs="Times New Roman"/>
          <w:lang w:val="id-ID"/>
        </w:rPr>
        <w:t>contraction</w:t>
      </w:r>
      <w:proofErr w:type="spellEnd"/>
      <w:r w:rsidRPr="00C138DE">
        <w:rPr>
          <w:rFonts w:eastAsia="Times New Roman" w:cs="Times New Roman"/>
          <w:lang w:val="id-ID"/>
        </w:rPr>
        <w:t xml:space="preserve"> </w:t>
      </w:r>
      <w:proofErr w:type="spellStart"/>
      <w:r w:rsidRPr="00C138DE">
        <w:rPr>
          <w:rFonts w:eastAsia="Times New Roman" w:cs="Times New Roman"/>
          <w:lang w:val="id-ID"/>
        </w:rPr>
        <w:t>ordinarily</w:t>
      </w:r>
      <w:proofErr w:type="spellEnd"/>
      <w:r w:rsidRPr="00C138DE">
        <w:rPr>
          <w:rFonts w:eastAsia="Times New Roman" w:cs="Times New Roman"/>
          <w:lang w:val="id-ID"/>
        </w:rPr>
        <w:t xml:space="preserve"> </w:t>
      </w:r>
      <w:proofErr w:type="spellStart"/>
      <w:r w:rsidRPr="00C138DE">
        <w:rPr>
          <w:rFonts w:eastAsia="Times New Roman" w:cs="Times New Roman"/>
          <w:lang w:val="id-ID"/>
        </w:rPr>
        <w:t>stimulates</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synthesis</w:t>
      </w:r>
      <w:proofErr w:type="spellEnd"/>
      <w:r w:rsidRPr="00C138DE">
        <w:rPr>
          <w:rFonts w:eastAsia="Times New Roman" w:cs="Times New Roman"/>
          <w:lang w:val="id-ID"/>
        </w:rPr>
        <w:t xml:space="preserve"> </w:t>
      </w:r>
      <w:proofErr w:type="spellStart"/>
      <w:r w:rsidRPr="00C138DE">
        <w:rPr>
          <w:rFonts w:eastAsia="Times New Roman" w:cs="Times New Roman"/>
          <w:lang w:val="id-ID"/>
        </w:rPr>
        <w:t>of</w:t>
      </w:r>
      <w:proofErr w:type="spellEnd"/>
      <w:r w:rsidRPr="00C138DE">
        <w:rPr>
          <w:rFonts w:eastAsia="Times New Roman" w:cs="Times New Roman"/>
          <w:lang w:val="id-ID"/>
        </w:rPr>
        <w:t xml:space="preserve"> </w:t>
      </w:r>
      <w:proofErr w:type="spellStart"/>
      <w:r w:rsidRPr="00C138DE">
        <w:rPr>
          <w:rFonts w:eastAsia="Times New Roman" w:cs="Times New Roman"/>
          <w:lang w:val="id-ID"/>
        </w:rPr>
        <w:t>brain-derived</w:t>
      </w:r>
      <w:proofErr w:type="spellEnd"/>
      <w:r w:rsidRPr="00C138DE">
        <w:rPr>
          <w:rFonts w:eastAsia="Times New Roman" w:cs="Times New Roman"/>
          <w:lang w:val="id-ID"/>
        </w:rPr>
        <w:t xml:space="preserve"> </w:t>
      </w:r>
      <w:proofErr w:type="spellStart"/>
      <w:r w:rsidRPr="00C138DE">
        <w:rPr>
          <w:rFonts w:eastAsia="Times New Roman" w:cs="Times New Roman"/>
          <w:lang w:val="id-ID"/>
        </w:rPr>
        <w:t>neurotrophic</w:t>
      </w:r>
      <w:proofErr w:type="spellEnd"/>
      <w:r w:rsidRPr="00C138DE">
        <w:rPr>
          <w:rFonts w:eastAsia="Times New Roman" w:cs="Times New Roman"/>
          <w:lang w:val="id-ID"/>
        </w:rPr>
        <w:t xml:space="preserve"> </w:t>
      </w:r>
      <w:proofErr w:type="spellStart"/>
      <w:r w:rsidRPr="00C138DE">
        <w:rPr>
          <w:rFonts w:eastAsia="Times New Roman" w:cs="Times New Roman"/>
          <w:lang w:val="id-ID"/>
        </w:rPr>
        <w:t>factor</w:t>
      </w:r>
      <w:proofErr w:type="spellEnd"/>
      <w:r w:rsidRPr="00C138DE">
        <w:rPr>
          <w:rFonts w:eastAsia="Times New Roman" w:cs="Times New Roman"/>
          <w:lang w:val="id-ID"/>
        </w:rPr>
        <w:t xml:space="preserve"> (BDNF), a </w:t>
      </w:r>
      <w:proofErr w:type="spellStart"/>
      <w:r w:rsidRPr="00C138DE">
        <w:rPr>
          <w:rFonts w:eastAsia="Times New Roman" w:cs="Times New Roman"/>
          <w:lang w:val="id-ID"/>
        </w:rPr>
        <w:t>neurotrophin</w:t>
      </w:r>
      <w:proofErr w:type="spellEnd"/>
      <w:r w:rsidRPr="00C138DE">
        <w:rPr>
          <w:rFonts w:eastAsia="Times New Roman" w:cs="Times New Roman"/>
          <w:lang w:val="id-ID"/>
        </w:rPr>
        <w:t xml:space="preserve"> </w:t>
      </w:r>
      <w:proofErr w:type="spellStart"/>
      <w:r w:rsidRPr="00C138DE">
        <w:rPr>
          <w:rFonts w:eastAsia="Times New Roman" w:cs="Times New Roman"/>
          <w:lang w:val="id-ID"/>
        </w:rPr>
        <w:t>critical</w:t>
      </w:r>
      <w:proofErr w:type="spellEnd"/>
      <w:r w:rsidRPr="00C138DE">
        <w:rPr>
          <w:rFonts w:eastAsia="Times New Roman" w:cs="Times New Roman"/>
          <w:lang w:val="id-ID"/>
        </w:rPr>
        <w:t xml:space="preserve"> </w:t>
      </w:r>
      <w:proofErr w:type="spellStart"/>
      <w:r w:rsidRPr="00C138DE">
        <w:rPr>
          <w:rFonts w:eastAsia="Times New Roman" w:cs="Times New Roman"/>
          <w:lang w:val="id-ID"/>
        </w:rPr>
        <w:t>for</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maintenance</w:t>
      </w:r>
      <w:proofErr w:type="spellEnd"/>
      <w:r w:rsidRPr="00C138DE">
        <w:rPr>
          <w:rFonts w:eastAsia="Times New Roman" w:cs="Times New Roman"/>
          <w:lang w:val="id-ID"/>
        </w:rPr>
        <w:t xml:space="preserve"> </w:t>
      </w:r>
      <w:proofErr w:type="spellStart"/>
      <w:r w:rsidRPr="00C138DE">
        <w:rPr>
          <w:rFonts w:eastAsia="Times New Roman" w:cs="Times New Roman"/>
          <w:lang w:val="id-ID"/>
        </w:rPr>
        <w:t>of</w:t>
      </w:r>
      <w:proofErr w:type="spellEnd"/>
      <w:r w:rsidRPr="00C138DE">
        <w:rPr>
          <w:rFonts w:eastAsia="Times New Roman" w:cs="Times New Roman"/>
          <w:lang w:val="id-ID"/>
        </w:rPr>
        <w:t xml:space="preserve"> </w:t>
      </w:r>
      <w:proofErr w:type="spellStart"/>
      <w:r w:rsidRPr="00C138DE">
        <w:rPr>
          <w:rFonts w:eastAsia="Times New Roman" w:cs="Times New Roman"/>
          <w:lang w:val="id-ID"/>
        </w:rPr>
        <w:t>synaptic</w:t>
      </w:r>
      <w:proofErr w:type="spellEnd"/>
      <w:r w:rsidRPr="00C138DE">
        <w:rPr>
          <w:rFonts w:eastAsia="Times New Roman" w:cs="Times New Roman"/>
          <w:lang w:val="id-ID"/>
        </w:rPr>
        <w:t xml:space="preserve"> </w:t>
      </w:r>
      <w:proofErr w:type="spellStart"/>
      <w:r w:rsidRPr="00C138DE">
        <w:rPr>
          <w:rFonts w:eastAsia="Times New Roman" w:cs="Times New Roman"/>
          <w:lang w:val="id-ID"/>
        </w:rPr>
        <w:t>plasticity</w:t>
      </w:r>
      <w:proofErr w:type="spellEnd"/>
      <w:r w:rsidRPr="00C138DE">
        <w:rPr>
          <w:rFonts w:eastAsia="Times New Roman" w:cs="Times New Roman"/>
          <w:lang w:val="id-ID"/>
        </w:rPr>
        <w:t xml:space="preserve"> </w:t>
      </w:r>
      <w:proofErr w:type="spellStart"/>
      <w:r w:rsidRPr="00C138DE">
        <w:rPr>
          <w:rFonts w:eastAsia="Times New Roman" w:cs="Times New Roman"/>
          <w:lang w:val="id-ID"/>
        </w:rPr>
        <w:t>and</w:t>
      </w:r>
      <w:proofErr w:type="spellEnd"/>
      <w:r w:rsidRPr="00C138DE">
        <w:rPr>
          <w:rFonts w:eastAsia="Times New Roman" w:cs="Times New Roman"/>
          <w:lang w:val="id-ID"/>
        </w:rPr>
        <w:t xml:space="preserve"> </w:t>
      </w:r>
      <w:proofErr w:type="spellStart"/>
      <w:r w:rsidRPr="00C138DE">
        <w:rPr>
          <w:rFonts w:eastAsia="Times New Roman" w:cs="Times New Roman"/>
          <w:lang w:val="id-ID"/>
        </w:rPr>
        <w:t>neuronal</w:t>
      </w:r>
      <w:proofErr w:type="spellEnd"/>
      <w:r w:rsidRPr="00C138DE">
        <w:rPr>
          <w:rFonts w:eastAsia="Times New Roman" w:cs="Times New Roman"/>
          <w:lang w:val="id-ID"/>
        </w:rPr>
        <w:t xml:space="preserve"> </w:t>
      </w:r>
      <w:proofErr w:type="spellStart"/>
      <w:r w:rsidRPr="00C138DE">
        <w:rPr>
          <w:rFonts w:eastAsia="Times New Roman" w:cs="Times New Roman"/>
          <w:lang w:val="id-ID"/>
        </w:rPr>
        <w:t>viability</w:t>
      </w:r>
      <w:proofErr w:type="spellEnd"/>
      <w:r w:rsidRPr="00C138DE">
        <w:rPr>
          <w:rFonts w:eastAsia="Times New Roman" w:cs="Times New Roman"/>
          <w:lang w:val="id-ID"/>
        </w:rPr>
        <w:t xml:space="preserve">. The </w:t>
      </w:r>
      <w:proofErr w:type="spellStart"/>
      <w:r w:rsidRPr="00C138DE">
        <w:rPr>
          <w:rFonts w:eastAsia="Times New Roman" w:cs="Times New Roman"/>
          <w:lang w:val="id-ID"/>
        </w:rPr>
        <w:t>reduction</w:t>
      </w:r>
      <w:proofErr w:type="spellEnd"/>
      <w:r w:rsidRPr="00C138DE">
        <w:rPr>
          <w:rFonts w:eastAsia="Times New Roman" w:cs="Times New Roman"/>
          <w:lang w:val="id-ID"/>
        </w:rPr>
        <w:t xml:space="preserve"> in BDNF </w:t>
      </w:r>
      <w:proofErr w:type="spellStart"/>
      <w:r w:rsidRPr="00C138DE">
        <w:rPr>
          <w:rFonts w:eastAsia="Times New Roman" w:cs="Times New Roman"/>
          <w:lang w:val="id-ID"/>
        </w:rPr>
        <w:t>output</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that</w:t>
      </w:r>
      <w:proofErr w:type="spellEnd"/>
      <w:r w:rsidRPr="00C138DE">
        <w:rPr>
          <w:rFonts w:eastAsia="Times New Roman" w:cs="Times New Roman"/>
          <w:lang w:val="id-ID"/>
        </w:rPr>
        <w:t xml:space="preserve"> </w:t>
      </w:r>
      <w:proofErr w:type="spellStart"/>
      <w:r w:rsidRPr="00C138DE">
        <w:rPr>
          <w:rFonts w:eastAsia="Times New Roman" w:cs="Times New Roman"/>
          <w:lang w:val="id-ID"/>
        </w:rPr>
        <w:t>accompanies</w:t>
      </w:r>
      <w:proofErr w:type="spellEnd"/>
      <w:r w:rsidRPr="00C138DE">
        <w:rPr>
          <w:rFonts w:eastAsia="Times New Roman" w:cs="Times New Roman"/>
          <w:lang w:val="id-ID"/>
        </w:rPr>
        <w:t xml:space="preserve"> </w:t>
      </w:r>
      <w:proofErr w:type="spellStart"/>
      <w:r w:rsidRPr="00C138DE">
        <w:rPr>
          <w:rFonts w:eastAsia="Times New Roman" w:cs="Times New Roman"/>
          <w:lang w:val="id-ID"/>
        </w:rPr>
        <w:t>sarcopenia-related</w:t>
      </w:r>
      <w:proofErr w:type="spellEnd"/>
      <w:r w:rsidRPr="00C138DE">
        <w:rPr>
          <w:rFonts w:eastAsia="Times New Roman" w:cs="Times New Roman"/>
          <w:lang w:val="id-ID"/>
        </w:rPr>
        <w:t xml:space="preserve"> </w:t>
      </w:r>
      <w:proofErr w:type="spellStart"/>
      <w:r w:rsidRPr="00C138DE">
        <w:rPr>
          <w:rFonts w:eastAsia="Times New Roman" w:cs="Times New Roman"/>
          <w:lang w:val="id-ID"/>
        </w:rPr>
        <w:t>muscle</w:t>
      </w:r>
      <w:proofErr w:type="spellEnd"/>
      <w:r w:rsidRPr="00C138DE">
        <w:rPr>
          <w:rFonts w:eastAsia="Times New Roman" w:cs="Times New Roman"/>
          <w:lang w:val="id-ID"/>
        </w:rPr>
        <w:t xml:space="preserve"> </w:t>
      </w:r>
      <w:proofErr w:type="spellStart"/>
      <w:r w:rsidRPr="00C138DE">
        <w:rPr>
          <w:rFonts w:eastAsia="Times New Roman" w:cs="Times New Roman"/>
          <w:lang w:val="id-ID"/>
        </w:rPr>
        <w:t>depletion</w:t>
      </w:r>
      <w:proofErr w:type="spellEnd"/>
      <w:r w:rsidRPr="00C138DE">
        <w:rPr>
          <w:rFonts w:eastAsia="Times New Roman" w:cs="Times New Roman"/>
          <w:lang w:val="id-ID"/>
        </w:rPr>
        <w:t xml:space="preserve"> </w:t>
      </w:r>
      <w:proofErr w:type="spellStart"/>
      <w:r w:rsidRPr="00C138DE">
        <w:rPr>
          <w:rFonts w:eastAsia="Times New Roman" w:cs="Times New Roman"/>
          <w:lang w:val="id-ID"/>
        </w:rPr>
        <w:t>may</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therefore</w:t>
      </w:r>
      <w:proofErr w:type="spellEnd"/>
      <w:r w:rsidRPr="00C138DE">
        <w:rPr>
          <w:rFonts w:eastAsia="Times New Roman" w:cs="Times New Roman"/>
          <w:lang w:val="id-ID"/>
        </w:rPr>
        <w:t xml:space="preserve"> </w:t>
      </w:r>
      <w:proofErr w:type="spellStart"/>
      <w:r w:rsidRPr="00C138DE">
        <w:rPr>
          <w:rFonts w:eastAsia="Times New Roman" w:cs="Times New Roman"/>
          <w:lang w:val="id-ID"/>
        </w:rPr>
        <w:t>serve</w:t>
      </w:r>
      <w:proofErr w:type="spellEnd"/>
      <w:r w:rsidRPr="00C138DE">
        <w:rPr>
          <w:rFonts w:eastAsia="Times New Roman" w:cs="Times New Roman"/>
          <w:lang w:val="id-ID"/>
        </w:rPr>
        <w:t xml:space="preserve"> as a </w:t>
      </w:r>
      <w:proofErr w:type="spellStart"/>
      <w:r w:rsidRPr="00C138DE">
        <w:rPr>
          <w:rFonts w:eastAsia="Times New Roman" w:cs="Times New Roman"/>
          <w:lang w:val="id-ID"/>
        </w:rPr>
        <w:t>peripheral</w:t>
      </w:r>
      <w:proofErr w:type="spellEnd"/>
      <w:r w:rsidRPr="00C138DE">
        <w:rPr>
          <w:rFonts w:eastAsia="Times New Roman" w:cs="Times New Roman"/>
          <w:lang w:val="id-ID"/>
        </w:rPr>
        <w:t xml:space="preserve"> </w:t>
      </w:r>
      <w:proofErr w:type="spellStart"/>
      <w:r w:rsidRPr="00C138DE">
        <w:rPr>
          <w:rFonts w:eastAsia="Times New Roman" w:cs="Times New Roman"/>
          <w:lang w:val="id-ID"/>
        </w:rPr>
        <w:t>mirror</w:t>
      </w:r>
      <w:proofErr w:type="spellEnd"/>
      <w:r w:rsidRPr="00C138DE">
        <w:rPr>
          <w:rFonts w:eastAsia="Times New Roman" w:cs="Times New Roman"/>
          <w:lang w:val="id-ID"/>
        </w:rPr>
        <w:t xml:space="preserve"> </w:t>
      </w:r>
      <w:proofErr w:type="spellStart"/>
      <w:r w:rsidRPr="00C138DE">
        <w:rPr>
          <w:rFonts w:eastAsia="Times New Roman" w:cs="Times New Roman"/>
          <w:lang w:val="id-ID"/>
        </w:rPr>
        <w:t>of</w:t>
      </w:r>
      <w:proofErr w:type="spellEnd"/>
      <w:r w:rsidRPr="00C138DE">
        <w:rPr>
          <w:rFonts w:eastAsia="Times New Roman" w:cs="Times New Roman"/>
          <w:lang w:val="id-ID"/>
        </w:rPr>
        <w:t xml:space="preserve"> </w:t>
      </w:r>
      <w:proofErr w:type="spellStart"/>
      <w:r w:rsidRPr="00C138DE">
        <w:rPr>
          <w:rFonts w:eastAsia="Times New Roman" w:cs="Times New Roman"/>
          <w:lang w:val="id-ID"/>
        </w:rPr>
        <w:t>concomitant</w:t>
      </w:r>
      <w:proofErr w:type="spellEnd"/>
      <w:r w:rsidRPr="00C138DE">
        <w:rPr>
          <w:rFonts w:eastAsia="Times New Roman" w:cs="Times New Roman"/>
          <w:lang w:val="id-ID"/>
        </w:rPr>
        <w:t xml:space="preserve"> </w:t>
      </w:r>
      <w:proofErr w:type="spellStart"/>
      <w:r w:rsidRPr="00C138DE">
        <w:rPr>
          <w:rFonts w:eastAsia="Times New Roman" w:cs="Times New Roman"/>
          <w:lang w:val="id-ID"/>
        </w:rPr>
        <w:t>neurodegenerative</w:t>
      </w:r>
      <w:proofErr w:type="spellEnd"/>
      <w:r w:rsidRPr="00C138DE">
        <w:rPr>
          <w:rFonts w:eastAsia="Times New Roman" w:cs="Times New Roman"/>
          <w:lang w:val="id-ID"/>
        </w:rPr>
        <w:t xml:space="preserve"> </w:t>
      </w:r>
      <w:proofErr w:type="spellStart"/>
      <w:r w:rsidRPr="00C138DE">
        <w:rPr>
          <w:rFonts w:eastAsia="Times New Roman" w:cs="Times New Roman"/>
          <w:lang w:val="id-ID"/>
        </w:rPr>
        <w:t>activity</w:t>
      </w:r>
      <w:proofErr w:type="spellEnd"/>
      <w:r w:rsidRPr="00C138DE">
        <w:rPr>
          <w:rFonts w:eastAsia="Times New Roman" w:cs="Times New Roman"/>
          <w:lang w:val="id-ID"/>
        </w:rPr>
        <w:t xml:space="preserve">, </w:t>
      </w:r>
      <w:proofErr w:type="spellStart"/>
      <w:r w:rsidRPr="00C138DE">
        <w:rPr>
          <w:rFonts w:eastAsia="Times New Roman" w:cs="Times New Roman"/>
          <w:lang w:val="id-ID"/>
        </w:rPr>
        <w:t>reinforcing</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biological</w:t>
      </w:r>
      <w:proofErr w:type="spellEnd"/>
      <w:r w:rsidRPr="00C138DE">
        <w:rPr>
          <w:rFonts w:eastAsia="Times New Roman" w:cs="Times New Roman"/>
          <w:lang w:val="id-ID"/>
        </w:rPr>
        <w:t xml:space="preserve"> </w:t>
      </w:r>
      <w:proofErr w:type="spellStart"/>
      <w:r w:rsidRPr="00C138DE">
        <w:rPr>
          <w:rFonts w:eastAsia="Times New Roman" w:cs="Times New Roman"/>
          <w:lang w:val="id-ID"/>
        </w:rPr>
        <w:t>legitimacy</w:t>
      </w:r>
      <w:proofErr w:type="spellEnd"/>
      <w:r w:rsidRPr="00C138DE">
        <w:rPr>
          <w:rFonts w:eastAsia="Times New Roman" w:cs="Times New Roman"/>
          <w:lang w:val="id-ID"/>
        </w:rPr>
        <w:t xml:space="preserve"> </w:t>
      </w:r>
      <w:proofErr w:type="spellStart"/>
      <w:r w:rsidRPr="00C138DE">
        <w:rPr>
          <w:rFonts w:eastAsia="Times New Roman" w:cs="Times New Roman"/>
          <w:lang w:val="id-ID"/>
        </w:rPr>
        <w:t>of</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muscle</w:t>
      </w:r>
      <w:proofErr w:type="spellEnd"/>
      <w:r w:rsidRPr="00C138DE">
        <w:rPr>
          <w:rFonts w:eastAsia="Times New Roman" w:cs="Times New Roman"/>
          <w:lang w:val="id-ID"/>
        </w:rPr>
        <w:t>–</w:t>
      </w:r>
      <w:proofErr w:type="spellStart"/>
      <w:r w:rsidRPr="00C138DE">
        <w:rPr>
          <w:rFonts w:eastAsia="Times New Roman" w:cs="Times New Roman"/>
          <w:lang w:val="id-ID"/>
        </w:rPr>
        <w:t>brain</w:t>
      </w:r>
      <w:proofErr w:type="spellEnd"/>
      <w:r w:rsidRPr="00C138DE">
        <w:rPr>
          <w:rFonts w:eastAsia="Times New Roman" w:cs="Times New Roman"/>
          <w:lang w:val="id-ID"/>
        </w:rPr>
        <w:t xml:space="preserve"> </w:t>
      </w:r>
      <w:proofErr w:type="spellStart"/>
      <w:r w:rsidRPr="00C138DE">
        <w:rPr>
          <w:rFonts w:eastAsia="Times New Roman" w:cs="Times New Roman"/>
          <w:lang w:val="id-ID"/>
        </w:rPr>
        <w:t>link</w:t>
      </w:r>
      <w:proofErr w:type="spellEnd"/>
      <w:r w:rsidRPr="00C138DE">
        <w:rPr>
          <w:rFonts w:eastAsia="Times New Roman" w:cs="Times New Roman"/>
          <w:lang w:val="id-ID"/>
        </w:rPr>
        <w:t xml:space="preserve"> </w:t>
      </w:r>
      <w:hyperlink w:anchor="Liu" w:history="1">
        <w:r w:rsidRPr="00C138DE">
          <w:rPr>
            <w:rStyle w:val="Hyperlink"/>
            <w:rFonts w:eastAsia="Times New Roman" w:cs="Times New Roman"/>
            <w:u w:val="none"/>
            <w:lang w:val="id-ID"/>
          </w:rPr>
          <w:t xml:space="preserve">(Liu </w:t>
        </w:r>
        <w:proofErr w:type="spellStart"/>
        <w:r w:rsidRPr="00C138DE">
          <w:rPr>
            <w:rStyle w:val="Hyperlink"/>
            <w:rFonts w:eastAsia="Times New Roman" w:cs="Times New Roman"/>
            <w:u w:val="none"/>
            <w:lang w:val="id-ID"/>
          </w:rPr>
          <w:t>et</w:t>
        </w:r>
        <w:proofErr w:type="spellEnd"/>
        <w:r w:rsidRPr="00C138DE">
          <w:rPr>
            <w:rStyle w:val="Hyperlink"/>
            <w:rFonts w:eastAsia="Times New Roman" w:cs="Times New Roman"/>
            <w:u w:val="none"/>
            <w:lang w:val="id-ID"/>
          </w:rPr>
          <w:t xml:space="preserve"> </w:t>
        </w:r>
        <w:proofErr w:type="spellStart"/>
        <w:r w:rsidRPr="00C138DE">
          <w:rPr>
            <w:rStyle w:val="Hyperlink"/>
            <w:rFonts w:eastAsia="Times New Roman" w:cs="Times New Roman"/>
            <w:u w:val="none"/>
            <w:lang w:val="id-ID"/>
          </w:rPr>
          <w:t>al.</w:t>
        </w:r>
        <w:proofErr w:type="spellEnd"/>
        <w:r w:rsidRPr="00C138DE">
          <w:rPr>
            <w:rStyle w:val="Hyperlink"/>
            <w:rFonts w:eastAsia="Times New Roman" w:cs="Times New Roman"/>
            <w:u w:val="none"/>
            <w:lang w:val="id-ID"/>
          </w:rPr>
          <w:t>, 2024)</w:t>
        </w:r>
      </w:hyperlink>
      <w:r w:rsidRPr="00C138DE">
        <w:rPr>
          <w:rFonts w:eastAsia="Times New Roman" w:cs="Times New Roman"/>
          <w:lang w:val="id-ID"/>
        </w:rPr>
        <w:t>.</w:t>
      </w:r>
    </w:p>
    <w:p w14:paraId="7C86622C" w14:textId="475F811F" w:rsidR="00E24B88" w:rsidRPr="00C138DE" w:rsidRDefault="00E24B88" w:rsidP="00E24B88">
      <w:pPr>
        <w:ind w:left="284" w:right="288" w:firstLine="720"/>
        <w:jc w:val="both"/>
        <w:rPr>
          <w:rFonts w:eastAsia="Times New Roman" w:cs="Times New Roman"/>
          <w:lang w:val="id-ID"/>
        </w:rPr>
      </w:pPr>
      <w:proofErr w:type="spellStart"/>
      <w:r w:rsidRPr="00C138DE">
        <w:rPr>
          <w:rFonts w:eastAsia="Times New Roman" w:cs="Times New Roman"/>
          <w:lang w:val="id-ID"/>
        </w:rPr>
        <w:t>Evidence</w:t>
      </w:r>
      <w:proofErr w:type="spellEnd"/>
      <w:r w:rsidRPr="00C138DE">
        <w:rPr>
          <w:rFonts w:eastAsia="Times New Roman" w:cs="Times New Roman"/>
          <w:lang w:val="id-ID"/>
        </w:rPr>
        <w:t xml:space="preserve"> </w:t>
      </w:r>
      <w:proofErr w:type="spellStart"/>
      <w:r w:rsidRPr="00C138DE">
        <w:rPr>
          <w:rFonts w:eastAsia="Times New Roman" w:cs="Times New Roman"/>
          <w:lang w:val="id-ID"/>
        </w:rPr>
        <w:t>also</w:t>
      </w:r>
      <w:proofErr w:type="spellEnd"/>
      <w:r w:rsidRPr="00C138DE">
        <w:rPr>
          <w:rFonts w:eastAsia="Times New Roman" w:cs="Times New Roman"/>
          <w:lang w:val="id-ID"/>
        </w:rPr>
        <w:t xml:space="preserve"> </w:t>
      </w:r>
      <w:proofErr w:type="spellStart"/>
      <w:r w:rsidRPr="00C138DE">
        <w:rPr>
          <w:rFonts w:eastAsia="Times New Roman" w:cs="Times New Roman"/>
          <w:lang w:val="id-ID"/>
        </w:rPr>
        <w:t>supports</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reverse</w:t>
      </w:r>
      <w:proofErr w:type="spellEnd"/>
      <w:r w:rsidRPr="00C138DE">
        <w:rPr>
          <w:rFonts w:eastAsia="Times New Roman" w:cs="Times New Roman"/>
          <w:lang w:val="id-ID"/>
        </w:rPr>
        <w:t xml:space="preserve"> </w:t>
      </w:r>
      <w:proofErr w:type="spellStart"/>
      <w:r w:rsidRPr="00C138DE">
        <w:rPr>
          <w:rFonts w:eastAsia="Times New Roman" w:cs="Times New Roman"/>
          <w:lang w:val="id-ID"/>
        </w:rPr>
        <w:t>causal</w:t>
      </w:r>
      <w:proofErr w:type="spellEnd"/>
      <w:r w:rsidRPr="00C138DE">
        <w:rPr>
          <w:rFonts w:eastAsia="Times New Roman" w:cs="Times New Roman"/>
          <w:lang w:val="id-ID"/>
        </w:rPr>
        <w:t xml:space="preserve"> </w:t>
      </w:r>
      <w:proofErr w:type="spellStart"/>
      <w:r w:rsidRPr="00C138DE">
        <w:rPr>
          <w:rFonts w:eastAsia="Times New Roman" w:cs="Times New Roman"/>
          <w:lang w:val="id-ID"/>
        </w:rPr>
        <w:t>pathway</w:t>
      </w:r>
      <w:proofErr w:type="spellEnd"/>
      <w:r w:rsidRPr="00C138DE">
        <w:rPr>
          <w:rFonts w:eastAsia="Times New Roman" w:cs="Times New Roman"/>
          <w:lang w:val="id-ID"/>
        </w:rPr>
        <w:t xml:space="preserve">, </w:t>
      </w:r>
      <w:proofErr w:type="spellStart"/>
      <w:r w:rsidRPr="00C138DE">
        <w:rPr>
          <w:rFonts w:eastAsia="Times New Roman" w:cs="Times New Roman"/>
          <w:lang w:val="id-ID"/>
        </w:rPr>
        <w:t>wherein</w:t>
      </w:r>
      <w:proofErr w:type="spellEnd"/>
      <w:r w:rsidRPr="00C138DE">
        <w:rPr>
          <w:rFonts w:eastAsia="Times New Roman" w:cs="Times New Roman"/>
          <w:lang w:val="id-ID"/>
        </w:rPr>
        <w:t xml:space="preserve"> </w:t>
      </w:r>
      <w:proofErr w:type="spellStart"/>
      <w:r w:rsidRPr="00C138DE">
        <w:rPr>
          <w:rFonts w:eastAsia="Times New Roman" w:cs="Times New Roman"/>
          <w:lang w:val="id-ID"/>
        </w:rPr>
        <w:t>declining</w:t>
      </w:r>
      <w:proofErr w:type="spellEnd"/>
      <w:r w:rsidRPr="00C138DE">
        <w:rPr>
          <w:rFonts w:eastAsia="Times New Roman" w:cs="Times New Roman"/>
          <w:lang w:val="id-ID"/>
        </w:rPr>
        <w:t xml:space="preserve"> </w:t>
      </w:r>
      <w:proofErr w:type="spellStart"/>
      <w:r w:rsidRPr="00C138DE">
        <w:rPr>
          <w:rFonts w:eastAsia="Times New Roman" w:cs="Times New Roman"/>
          <w:lang w:val="id-ID"/>
        </w:rPr>
        <w:t>cognitive</w:t>
      </w:r>
      <w:proofErr w:type="spellEnd"/>
      <w:r w:rsidRPr="00C138DE">
        <w:rPr>
          <w:rFonts w:eastAsia="Times New Roman" w:cs="Times New Roman"/>
          <w:lang w:val="id-ID"/>
        </w:rPr>
        <w:t xml:space="preserve"> </w:t>
      </w:r>
      <w:proofErr w:type="spellStart"/>
      <w:r w:rsidRPr="00C138DE">
        <w:rPr>
          <w:rFonts w:eastAsia="Times New Roman" w:cs="Times New Roman"/>
          <w:lang w:val="id-ID"/>
        </w:rPr>
        <w:t>function</w:t>
      </w:r>
      <w:proofErr w:type="spellEnd"/>
      <w:r w:rsidRPr="00C138DE">
        <w:rPr>
          <w:rFonts w:eastAsia="Times New Roman" w:cs="Times New Roman"/>
          <w:lang w:val="id-ID"/>
        </w:rPr>
        <w:t xml:space="preserve"> </w:t>
      </w:r>
      <w:proofErr w:type="spellStart"/>
      <w:r w:rsidRPr="00C138DE">
        <w:rPr>
          <w:rFonts w:eastAsia="Times New Roman" w:cs="Times New Roman"/>
          <w:lang w:val="id-ID"/>
        </w:rPr>
        <w:t>predisposes</w:t>
      </w:r>
      <w:proofErr w:type="spellEnd"/>
      <w:r w:rsidRPr="00C138DE">
        <w:rPr>
          <w:rFonts w:eastAsia="Times New Roman" w:cs="Times New Roman"/>
          <w:lang w:val="id-ID"/>
        </w:rPr>
        <w:t xml:space="preserve"> </w:t>
      </w:r>
      <w:proofErr w:type="spellStart"/>
      <w:r w:rsidRPr="00C138DE">
        <w:rPr>
          <w:rFonts w:eastAsia="Times New Roman" w:cs="Times New Roman"/>
          <w:lang w:val="id-ID"/>
        </w:rPr>
        <w:t>individuals</w:t>
      </w:r>
      <w:proofErr w:type="spellEnd"/>
      <w:r w:rsidRPr="00C138DE">
        <w:rPr>
          <w:rFonts w:eastAsia="Times New Roman" w:cs="Times New Roman"/>
          <w:lang w:val="id-ID"/>
        </w:rPr>
        <w:t xml:space="preserve"> </w:t>
      </w:r>
      <w:proofErr w:type="spellStart"/>
      <w:r w:rsidRPr="00C138DE">
        <w:rPr>
          <w:rFonts w:eastAsia="Times New Roman" w:cs="Times New Roman"/>
          <w:lang w:val="id-ID"/>
        </w:rPr>
        <w:t>to</w:t>
      </w:r>
      <w:proofErr w:type="spellEnd"/>
      <w:r w:rsidRPr="00C138DE">
        <w:rPr>
          <w:rFonts w:eastAsia="Times New Roman" w:cs="Times New Roman"/>
          <w:lang w:val="id-ID"/>
        </w:rPr>
        <w:t xml:space="preserve"> </w:t>
      </w:r>
      <w:proofErr w:type="spellStart"/>
      <w:r w:rsidRPr="00C138DE">
        <w:rPr>
          <w:rFonts w:eastAsia="Times New Roman" w:cs="Times New Roman"/>
          <w:lang w:val="id-ID"/>
        </w:rPr>
        <w:t>sarcopenia</w:t>
      </w:r>
      <w:proofErr w:type="spellEnd"/>
      <w:r w:rsidRPr="00C138DE">
        <w:rPr>
          <w:rFonts w:eastAsia="Times New Roman" w:cs="Times New Roman"/>
          <w:lang w:val="id-ID"/>
        </w:rPr>
        <w:t xml:space="preserve">. </w:t>
      </w:r>
      <w:proofErr w:type="spellStart"/>
      <w:r w:rsidRPr="00C138DE">
        <w:rPr>
          <w:rFonts w:eastAsia="Times New Roman" w:cs="Times New Roman"/>
          <w:lang w:val="id-ID"/>
        </w:rPr>
        <w:t>Dong</w:t>
      </w:r>
      <w:proofErr w:type="spellEnd"/>
      <w:r w:rsidRPr="00C138DE">
        <w:rPr>
          <w:rFonts w:eastAsia="Times New Roman" w:cs="Times New Roman"/>
          <w:lang w:val="id-ID"/>
        </w:rPr>
        <w:t xml:space="preserve"> </w:t>
      </w:r>
      <w:hyperlink w:anchor="Dong" w:history="1">
        <w:r w:rsidR="005C1BB9" w:rsidRPr="00C138DE">
          <w:rPr>
            <w:rStyle w:val="Hyperlink"/>
            <w:rFonts w:eastAsia="Times New Roman" w:cs="Times New Roman"/>
            <w:u w:val="none"/>
            <w:lang w:val="id-ID"/>
          </w:rPr>
          <w:fldChar w:fldCharType="begin" w:fldLock="1"/>
        </w:r>
        <w:r w:rsidR="005C1BB9" w:rsidRPr="00C138DE">
          <w:rPr>
            <w:rStyle w:val="Hyperlink"/>
            <w:rFonts w:eastAsia="Times New Roman" w:cs="Times New Roman"/>
            <w:u w:val="none"/>
            <w:lang w:val="id-ID"/>
          </w:rPr>
          <w:instrText>ADDIN CSL_CITATION {"citationItems":[{"id":"ITEM-1","itemData":{"ISSN":"1663-4365","author":[{"dropping-particle":"","family":"Dong","given":"Xiaohan","non-dropping-particle":"","parse-names":false,"suffix":""},{"dropping-particle":"","family":"Yu","given":"Yichao","non-dropping-particle":"","parse-names":false,"suffix":""},{"dropping-particle":"","family":"Li","given":"Jiahao","non-dropping-particle":"","parse-names":false,"suffix":""},{"dropping-particle":"","family":"Chai","given":"Xinyu","non-dropping-particle":"","parse-names":false,"suffix":""},{"dropping-particle":"","family":"Shan","given":"Wei","non-dropping-particle":"","parse-names":false,"suffix":""},{"dropping-particle":"","family":"Yan","given":"Huiping","non-dropping-particle":"","parse-names":false,"suffix":""},{"dropping-particle":"","family":"Lu","given":"Yifan","non-dropping-particle":"","parse-names":false,"suffix":""}],"container-title":"Frontiers in aging neuroscience","id":"ITEM-1","issued":{"date-parts":[["2024"]]},"page":"1489185","publisher":"Frontiers Media SA","title":"A study of the correlation between sarcopenia and cognitive impairment in older individuals over 60 years: cross-sectional and longitudinal validation","type":"article-journal","volume":"16"},"label":"paragraph","suppress-author":1,"uris":["http://www.mendeley.com/documents/?uuid=cb10d9f5-418a-4591-b89a-93815477aba6"]}],"mendeley":{"formattedCitation":"(2024)","plainTextFormattedCitation":"(2024)","previouslyFormattedCitation":"(2024)"},"properties":{"noteIndex":0},"schema":"https://github.com/citation-style-language/schema/raw/master/csl-citation.json"}</w:instrText>
        </w:r>
        <w:r w:rsidR="005C1BB9" w:rsidRPr="00C138DE">
          <w:rPr>
            <w:rStyle w:val="Hyperlink"/>
            <w:rFonts w:eastAsia="Times New Roman" w:cs="Times New Roman"/>
            <w:u w:val="none"/>
            <w:lang w:val="id-ID"/>
          </w:rPr>
          <w:fldChar w:fldCharType="separate"/>
        </w:r>
        <w:r w:rsidR="005C1BB9" w:rsidRPr="00C138DE">
          <w:rPr>
            <w:rStyle w:val="Hyperlink"/>
            <w:rFonts w:eastAsia="Times New Roman" w:cs="Times New Roman"/>
            <w:noProof/>
            <w:u w:val="none"/>
            <w:lang w:val="id-ID"/>
          </w:rPr>
          <w:t>(2024)</w:t>
        </w:r>
        <w:r w:rsidR="005C1BB9" w:rsidRPr="00C138DE">
          <w:rPr>
            <w:rStyle w:val="Hyperlink"/>
            <w:rFonts w:eastAsia="Times New Roman" w:cs="Times New Roman"/>
            <w:u w:val="none"/>
            <w:lang w:val="id-ID"/>
          </w:rPr>
          <w:fldChar w:fldCharType="end"/>
        </w:r>
      </w:hyperlink>
      <w:r w:rsidR="005C1BB9" w:rsidRPr="00C138DE">
        <w:rPr>
          <w:rFonts w:eastAsia="Times New Roman" w:cs="Times New Roman"/>
          <w:lang w:val="id-ID"/>
        </w:rPr>
        <w:t xml:space="preserve"> </w:t>
      </w:r>
      <w:proofErr w:type="spellStart"/>
      <w:r w:rsidRPr="00C138DE">
        <w:rPr>
          <w:rFonts w:eastAsia="Times New Roman" w:cs="Times New Roman"/>
          <w:lang w:val="id-ID"/>
        </w:rPr>
        <w:t>reported</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that</w:t>
      </w:r>
      <w:proofErr w:type="spellEnd"/>
      <w:r w:rsidRPr="00C138DE">
        <w:rPr>
          <w:rFonts w:eastAsia="Times New Roman" w:cs="Times New Roman"/>
          <w:lang w:val="id-ID"/>
        </w:rPr>
        <w:t xml:space="preserve"> </w:t>
      </w:r>
      <w:proofErr w:type="spellStart"/>
      <w:r w:rsidRPr="00C138DE">
        <w:rPr>
          <w:rFonts w:eastAsia="Times New Roman" w:cs="Times New Roman"/>
          <w:lang w:val="id-ID"/>
        </w:rPr>
        <w:t>sarcopenic</w:t>
      </w:r>
      <w:proofErr w:type="spellEnd"/>
      <w:r w:rsidRPr="00C138DE">
        <w:rPr>
          <w:rFonts w:eastAsia="Times New Roman" w:cs="Times New Roman"/>
          <w:lang w:val="id-ID"/>
        </w:rPr>
        <w:t xml:space="preserve"> </w:t>
      </w:r>
      <w:proofErr w:type="spellStart"/>
      <w:r w:rsidRPr="00C138DE">
        <w:rPr>
          <w:rFonts w:eastAsia="Times New Roman" w:cs="Times New Roman"/>
          <w:lang w:val="id-ID"/>
        </w:rPr>
        <w:t>participants</w:t>
      </w:r>
      <w:proofErr w:type="spellEnd"/>
      <w:r w:rsidRPr="00C138DE">
        <w:rPr>
          <w:rFonts w:eastAsia="Times New Roman" w:cs="Times New Roman"/>
          <w:lang w:val="id-ID"/>
        </w:rPr>
        <w:t xml:space="preserve"> </w:t>
      </w:r>
      <w:proofErr w:type="spellStart"/>
      <w:r w:rsidRPr="00C138DE">
        <w:rPr>
          <w:rFonts w:eastAsia="Times New Roman" w:cs="Times New Roman"/>
          <w:lang w:val="id-ID"/>
        </w:rPr>
        <w:t>scored</w:t>
      </w:r>
      <w:proofErr w:type="spellEnd"/>
      <w:r w:rsidRPr="00C138DE">
        <w:rPr>
          <w:rFonts w:eastAsia="Times New Roman" w:cs="Times New Roman"/>
          <w:lang w:val="id-ID"/>
        </w:rPr>
        <w:t xml:space="preserve"> </w:t>
      </w:r>
      <w:proofErr w:type="spellStart"/>
      <w:r w:rsidRPr="00C138DE">
        <w:rPr>
          <w:rFonts w:eastAsia="Times New Roman" w:cs="Times New Roman"/>
          <w:lang w:val="id-ID"/>
        </w:rPr>
        <w:t>significantly</w:t>
      </w:r>
      <w:proofErr w:type="spellEnd"/>
      <w:r w:rsidRPr="00C138DE">
        <w:rPr>
          <w:rFonts w:eastAsia="Times New Roman" w:cs="Times New Roman"/>
          <w:lang w:val="id-ID"/>
        </w:rPr>
        <w:t xml:space="preserve"> </w:t>
      </w:r>
      <w:proofErr w:type="spellStart"/>
      <w:r w:rsidRPr="00C138DE">
        <w:rPr>
          <w:rFonts w:eastAsia="Times New Roman" w:cs="Times New Roman"/>
          <w:lang w:val="id-ID"/>
        </w:rPr>
        <w:t>lower</w:t>
      </w:r>
      <w:proofErr w:type="spellEnd"/>
      <w:r w:rsidRPr="00C138DE">
        <w:rPr>
          <w:rFonts w:eastAsia="Times New Roman" w:cs="Times New Roman"/>
          <w:lang w:val="id-ID"/>
        </w:rPr>
        <w:t xml:space="preserve"> </w:t>
      </w:r>
      <w:proofErr w:type="spellStart"/>
      <w:r w:rsidRPr="00C138DE">
        <w:rPr>
          <w:rFonts w:eastAsia="Times New Roman" w:cs="Times New Roman"/>
          <w:lang w:val="id-ID"/>
        </w:rPr>
        <w:t>on</w:t>
      </w:r>
      <w:proofErr w:type="spellEnd"/>
      <w:r w:rsidRPr="00C138DE">
        <w:rPr>
          <w:rFonts w:eastAsia="Times New Roman" w:cs="Times New Roman"/>
          <w:lang w:val="id-ID"/>
        </w:rPr>
        <w:t xml:space="preserve"> </w:t>
      </w:r>
      <w:proofErr w:type="spellStart"/>
      <w:r w:rsidRPr="00C138DE">
        <w:rPr>
          <w:rFonts w:eastAsia="Times New Roman" w:cs="Times New Roman"/>
          <w:lang w:val="id-ID"/>
        </w:rPr>
        <w:t>both</w:t>
      </w:r>
      <w:proofErr w:type="spellEnd"/>
      <w:r w:rsidRPr="00C138DE">
        <w:rPr>
          <w:rFonts w:eastAsia="Times New Roman" w:cs="Times New Roman"/>
          <w:lang w:val="id-ID"/>
        </w:rPr>
        <w:t xml:space="preserve"> global </w:t>
      </w:r>
      <w:proofErr w:type="spellStart"/>
      <w:r w:rsidRPr="00C138DE">
        <w:rPr>
          <w:rFonts w:eastAsia="Times New Roman" w:cs="Times New Roman"/>
          <w:lang w:val="id-ID"/>
        </w:rPr>
        <w:t>and</w:t>
      </w:r>
      <w:proofErr w:type="spellEnd"/>
      <w:r w:rsidRPr="00C138DE">
        <w:rPr>
          <w:rFonts w:eastAsia="Times New Roman" w:cs="Times New Roman"/>
          <w:lang w:val="id-ID"/>
        </w:rPr>
        <w:t xml:space="preserve"> domain-</w:t>
      </w:r>
      <w:proofErr w:type="spellStart"/>
      <w:r w:rsidRPr="00C138DE">
        <w:rPr>
          <w:rFonts w:eastAsia="Times New Roman" w:cs="Times New Roman"/>
          <w:lang w:val="id-ID"/>
        </w:rPr>
        <w:t>specific</w:t>
      </w:r>
      <w:proofErr w:type="spellEnd"/>
      <w:r w:rsidRPr="00C138DE">
        <w:rPr>
          <w:rFonts w:eastAsia="Times New Roman" w:cs="Times New Roman"/>
          <w:lang w:val="id-ID"/>
        </w:rPr>
        <w:t xml:space="preserve"> </w:t>
      </w:r>
      <w:proofErr w:type="spellStart"/>
      <w:r w:rsidRPr="00C138DE">
        <w:rPr>
          <w:rFonts w:eastAsia="Times New Roman" w:cs="Times New Roman"/>
          <w:lang w:val="id-ID"/>
        </w:rPr>
        <w:t>subscales</w:t>
      </w:r>
      <w:proofErr w:type="spellEnd"/>
      <w:r w:rsidRPr="00C138DE">
        <w:rPr>
          <w:rFonts w:eastAsia="Times New Roman" w:cs="Times New Roman"/>
          <w:lang w:val="id-ID"/>
        </w:rPr>
        <w:t xml:space="preserve"> </w:t>
      </w:r>
      <w:proofErr w:type="spellStart"/>
      <w:r w:rsidRPr="00C138DE">
        <w:rPr>
          <w:rFonts w:eastAsia="Times New Roman" w:cs="Times New Roman"/>
          <w:lang w:val="id-ID"/>
        </w:rPr>
        <w:t>of</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Montreal</w:t>
      </w:r>
      <w:proofErr w:type="spellEnd"/>
      <w:r w:rsidRPr="00C138DE">
        <w:rPr>
          <w:rFonts w:eastAsia="Times New Roman" w:cs="Times New Roman"/>
          <w:lang w:val="id-ID"/>
        </w:rPr>
        <w:t xml:space="preserve"> </w:t>
      </w:r>
      <w:proofErr w:type="spellStart"/>
      <w:r w:rsidRPr="00C138DE">
        <w:rPr>
          <w:rFonts w:eastAsia="Times New Roman" w:cs="Times New Roman"/>
          <w:lang w:val="id-ID"/>
        </w:rPr>
        <w:t>Cognitive</w:t>
      </w:r>
      <w:proofErr w:type="spellEnd"/>
      <w:r w:rsidRPr="00C138DE">
        <w:rPr>
          <w:rFonts w:eastAsia="Times New Roman" w:cs="Times New Roman"/>
          <w:lang w:val="id-ID"/>
        </w:rPr>
        <w:t xml:space="preserve"> </w:t>
      </w:r>
      <w:proofErr w:type="spellStart"/>
      <w:r w:rsidRPr="00C138DE">
        <w:rPr>
          <w:rFonts w:eastAsia="Times New Roman" w:cs="Times New Roman"/>
          <w:lang w:val="id-ID"/>
        </w:rPr>
        <w:t>Assessment</w:t>
      </w:r>
      <w:proofErr w:type="spellEnd"/>
      <w:r w:rsidRPr="00C138DE">
        <w:rPr>
          <w:rFonts w:eastAsia="Times New Roman" w:cs="Times New Roman"/>
          <w:lang w:val="id-ID"/>
        </w:rPr>
        <w:t xml:space="preserve"> (</w:t>
      </w:r>
      <w:proofErr w:type="spellStart"/>
      <w:r w:rsidRPr="00C138DE">
        <w:rPr>
          <w:rFonts w:eastAsia="Times New Roman" w:cs="Times New Roman"/>
          <w:lang w:val="id-ID"/>
        </w:rPr>
        <w:t>MoCA</w:t>
      </w:r>
      <w:proofErr w:type="spellEnd"/>
      <w:r w:rsidRPr="00C138DE">
        <w:rPr>
          <w:rFonts w:eastAsia="Times New Roman" w:cs="Times New Roman"/>
          <w:lang w:val="id-ID"/>
        </w:rPr>
        <w:t xml:space="preserve">) </w:t>
      </w:r>
      <w:proofErr w:type="spellStart"/>
      <w:r w:rsidRPr="00C138DE">
        <w:rPr>
          <w:rFonts w:eastAsia="Times New Roman" w:cs="Times New Roman"/>
          <w:lang w:val="id-ID"/>
        </w:rPr>
        <w:t>relative</w:t>
      </w:r>
      <w:proofErr w:type="spellEnd"/>
      <w:r w:rsidRPr="00C138DE">
        <w:rPr>
          <w:rFonts w:eastAsia="Times New Roman" w:cs="Times New Roman"/>
          <w:lang w:val="id-ID"/>
        </w:rPr>
        <w:t xml:space="preserve"> </w:t>
      </w:r>
      <w:proofErr w:type="spellStart"/>
      <w:r w:rsidRPr="00C138DE">
        <w:rPr>
          <w:rFonts w:eastAsia="Times New Roman" w:cs="Times New Roman"/>
          <w:lang w:val="id-ID"/>
        </w:rPr>
        <w:t>to</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their</w:t>
      </w:r>
      <w:proofErr w:type="spellEnd"/>
      <w:r w:rsidRPr="00C138DE">
        <w:rPr>
          <w:rFonts w:eastAsia="Times New Roman" w:cs="Times New Roman"/>
          <w:lang w:val="id-ID"/>
        </w:rPr>
        <w:t xml:space="preserve"> non-</w:t>
      </w:r>
      <w:proofErr w:type="spellStart"/>
      <w:r w:rsidRPr="00C138DE">
        <w:rPr>
          <w:rFonts w:eastAsia="Times New Roman" w:cs="Times New Roman"/>
          <w:lang w:val="id-ID"/>
        </w:rPr>
        <w:t>sarcopenic</w:t>
      </w:r>
      <w:proofErr w:type="spellEnd"/>
      <w:r w:rsidRPr="00C138DE">
        <w:rPr>
          <w:rFonts w:eastAsia="Times New Roman" w:cs="Times New Roman"/>
          <w:lang w:val="id-ID"/>
        </w:rPr>
        <w:t xml:space="preserve"> </w:t>
      </w:r>
      <w:proofErr w:type="spellStart"/>
      <w:r w:rsidRPr="00C138DE">
        <w:rPr>
          <w:rFonts w:eastAsia="Times New Roman" w:cs="Times New Roman"/>
          <w:lang w:val="id-ID"/>
        </w:rPr>
        <w:t>counterparts</w:t>
      </w:r>
      <w:proofErr w:type="spellEnd"/>
      <w:r w:rsidRPr="00C138DE">
        <w:rPr>
          <w:rFonts w:eastAsia="Times New Roman" w:cs="Times New Roman"/>
          <w:lang w:val="id-ID"/>
        </w:rPr>
        <w:t xml:space="preserve"> (p &lt; 0.05), </w:t>
      </w:r>
      <w:proofErr w:type="spellStart"/>
      <w:r w:rsidRPr="00C138DE">
        <w:rPr>
          <w:rFonts w:eastAsia="Times New Roman" w:cs="Times New Roman"/>
          <w:lang w:val="id-ID"/>
        </w:rPr>
        <w:t>pointing</w:t>
      </w:r>
      <w:proofErr w:type="spellEnd"/>
      <w:r w:rsidRPr="00C138DE">
        <w:rPr>
          <w:rFonts w:eastAsia="Times New Roman" w:cs="Times New Roman"/>
          <w:lang w:val="id-ID"/>
        </w:rPr>
        <w:t xml:space="preserve"> </w:t>
      </w:r>
      <w:proofErr w:type="spellStart"/>
      <w:r w:rsidRPr="00C138DE">
        <w:rPr>
          <w:rFonts w:eastAsia="Times New Roman" w:cs="Times New Roman"/>
          <w:lang w:val="id-ID"/>
        </w:rPr>
        <w:t>to</w:t>
      </w:r>
      <w:proofErr w:type="spellEnd"/>
      <w:r w:rsidRPr="00C138DE">
        <w:rPr>
          <w:rFonts w:eastAsia="Times New Roman" w:cs="Times New Roman"/>
          <w:lang w:val="id-ID"/>
        </w:rPr>
        <w:t xml:space="preserve"> a </w:t>
      </w:r>
      <w:proofErr w:type="spellStart"/>
      <w:r w:rsidRPr="00C138DE">
        <w:rPr>
          <w:rFonts w:eastAsia="Times New Roman" w:cs="Times New Roman"/>
          <w:lang w:val="id-ID"/>
        </w:rPr>
        <w:t>self-</w:t>
      </w:r>
      <w:r w:rsidRPr="00C138DE">
        <w:rPr>
          <w:rFonts w:eastAsia="Times New Roman" w:cs="Times New Roman"/>
          <w:lang w:val="id-ID"/>
        </w:rPr>
        <w:lastRenderedPageBreak/>
        <w:t>perpetuating</w:t>
      </w:r>
      <w:proofErr w:type="spellEnd"/>
      <w:r w:rsidRPr="00C138DE">
        <w:rPr>
          <w:rFonts w:eastAsia="Times New Roman" w:cs="Times New Roman"/>
          <w:lang w:val="id-ID"/>
        </w:rPr>
        <w:t xml:space="preserve"> </w:t>
      </w:r>
      <w:proofErr w:type="spellStart"/>
      <w:r w:rsidRPr="00C138DE">
        <w:rPr>
          <w:rFonts w:eastAsia="Times New Roman" w:cs="Times New Roman"/>
          <w:lang w:val="id-ID"/>
        </w:rPr>
        <w:t>cycle</w:t>
      </w:r>
      <w:proofErr w:type="spellEnd"/>
      <w:r w:rsidRPr="00C138DE">
        <w:rPr>
          <w:rFonts w:eastAsia="Times New Roman" w:cs="Times New Roman"/>
          <w:lang w:val="id-ID"/>
        </w:rPr>
        <w:t xml:space="preserve"> </w:t>
      </w:r>
      <w:proofErr w:type="spellStart"/>
      <w:r w:rsidRPr="00C138DE">
        <w:rPr>
          <w:rFonts w:eastAsia="Times New Roman" w:cs="Times New Roman"/>
          <w:lang w:val="id-ID"/>
        </w:rPr>
        <w:t>linking</w:t>
      </w:r>
      <w:proofErr w:type="spellEnd"/>
      <w:r w:rsidRPr="00C138DE">
        <w:rPr>
          <w:rFonts w:eastAsia="Times New Roman" w:cs="Times New Roman"/>
          <w:lang w:val="id-ID"/>
        </w:rPr>
        <w:t xml:space="preserve"> </w:t>
      </w:r>
      <w:proofErr w:type="spellStart"/>
      <w:r w:rsidRPr="00C138DE">
        <w:rPr>
          <w:rFonts w:eastAsia="Times New Roman" w:cs="Times New Roman"/>
          <w:lang w:val="id-ID"/>
        </w:rPr>
        <w:t>muscle</w:t>
      </w:r>
      <w:proofErr w:type="spellEnd"/>
      <w:r w:rsidRPr="00C138DE">
        <w:rPr>
          <w:rFonts w:eastAsia="Times New Roman" w:cs="Times New Roman"/>
          <w:lang w:val="id-ID"/>
        </w:rPr>
        <w:t xml:space="preserve"> </w:t>
      </w:r>
      <w:proofErr w:type="spellStart"/>
      <w:r w:rsidRPr="00C138DE">
        <w:rPr>
          <w:rFonts w:eastAsia="Times New Roman" w:cs="Times New Roman"/>
          <w:lang w:val="id-ID"/>
        </w:rPr>
        <w:t>and</w:t>
      </w:r>
      <w:proofErr w:type="spellEnd"/>
      <w:r w:rsidRPr="00C138DE">
        <w:rPr>
          <w:rFonts w:eastAsia="Times New Roman" w:cs="Times New Roman"/>
          <w:lang w:val="id-ID"/>
        </w:rPr>
        <w:t xml:space="preserve"> neural </w:t>
      </w:r>
      <w:proofErr w:type="spellStart"/>
      <w:r w:rsidRPr="00C138DE">
        <w:rPr>
          <w:rFonts w:eastAsia="Times New Roman" w:cs="Times New Roman"/>
          <w:lang w:val="id-ID"/>
        </w:rPr>
        <w:t>function</w:t>
      </w:r>
      <w:proofErr w:type="spellEnd"/>
      <w:r w:rsidRPr="00C138DE">
        <w:rPr>
          <w:rFonts w:eastAsia="Times New Roman" w:cs="Times New Roman"/>
          <w:lang w:val="id-ID"/>
        </w:rPr>
        <w:t xml:space="preserve">. On a </w:t>
      </w:r>
      <w:proofErr w:type="spellStart"/>
      <w:r w:rsidRPr="00C138DE">
        <w:rPr>
          <w:rFonts w:eastAsia="Times New Roman" w:cs="Times New Roman"/>
          <w:lang w:val="id-ID"/>
        </w:rPr>
        <w:t>behavioral</w:t>
      </w:r>
      <w:proofErr w:type="spellEnd"/>
      <w:r w:rsidRPr="00C138DE">
        <w:rPr>
          <w:rFonts w:eastAsia="Times New Roman" w:cs="Times New Roman"/>
          <w:lang w:val="id-ID"/>
        </w:rPr>
        <w:t xml:space="preserve"> </w:t>
      </w:r>
      <w:proofErr w:type="spellStart"/>
      <w:r w:rsidRPr="00C138DE">
        <w:rPr>
          <w:rFonts w:eastAsia="Times New Roman" w:cs="Times New Roman"/>
          <w:lang w:val="id-ID"/>
        </w:rPr>
        <w:t>plane</w:t>
      </w:r>
      <w:proofErr w:type="spellEnd"/>
      <w:r w:rsidRPr="00C138DE">
        <w:rPr>
          <w:rFonts w:eastAsia="Times New Roman" w:cs="Times New Roman"/>
          <w:lang w:val="id-ID"/>
        </w:rPr>
        <w:t xml:space="preserve">, </w:t>
      </w:r>
      <w:proofErr w:type="spellStart"/>
      <w:r w:rsidRPr="00C138DE">
        <w:rPr>
          <w:rFonts w:eastAsia="Times New Roman" w:cs="Times New Roman"/>
          <w:lang w:val="id-ID"/>
        </w:rPr>
        <w:t>diminished</w:t>
      </w:r>
      <w:proofErr w:type="spellEnd"/>
      <w:r w:rsidRPr="00C138DE">
        <w:rPr>
          <w:rFonts w:eastAsia="Times New Roman" w:cs="Times New Roman"/>
          <w:lang w:val="id-ID"/>
        </w:rPr>
        <w:t xml:space="preserve"> </w:t>
      </w:r>
      <w:proofErr w:type="spellStart"/>
      <w:r w:rsidRPr="00C138DE">
        <w:rPr>
          <w:rFonts w:eastAsia="Times New Roman" w:cs="Times New Roman"/>
          <w:lang w:val="id-ID"/>
        </w:rPr>
        <w:t>cognitive</w:t>
      </w:r>
      <w:proofErr w:type="spellEnd"/>
      <w:r w:rsidRPr="00C138DE">
        <w:rPr>
          <w:rFonts w:eastAsia="Times New Roman" w:cs="Times New Roman"/>
          <w:lang w:val="id-ID"/>
        </w:rPr>
        <w:t xml:space="preserve"> reserve </w:t>
      </w:r>
      <w:proofErr w:type="spellStart"/>
      <w:r w:rsidRPr="00C138DE">
        <w:rPr>
          <w:rFonts w:eastAsia="Times New Roman" w:cs="Times New Roman"/>
          <w:lang w:val="id-ID"/>
        </w:rPr>
        <w:t>frequently</w:t>
      </w:r>
      <w:proofErr w:type="spellEnd"/>
      <w:r w:rsidRPr="00C138DE">
        <w:rPr>
          <w:rFonts w:eastAsia="Times New Roman" w:cs="Times New Roman"/>
          <w:lang w:val="id-ID"/>
        </w:rPr>
        <w:t xml:space="preserve"> </w:t>
      </w:r>
      <w:proofErr w:type="spellStart"/>
      <w:r w:rsidRPr="00C138DE">
        <w:rPr>
          <w:rFonts w:eastAsia="Times New Roman" w:cs="Times New Roman"/>
          <w:lang w:val="id-ID"/>
        </w:rPr>
        <w:t>translates</w:t>
      </w:r>
      <w:proofErr w:type="spellEnd"/>
      <w:r w:rsidRPr="00C138DE">
        <w:rPr>
          <w:rFonts w:eastAsia="Times New Roman" w:cs="Times New Roman"/>
          <w:lang w:val="id-ID"/>
        </w:rPr>
        <w:t xml:space="preserve"> </w:t>
      </w:r>
      <w:proofErr w:type="spellStart"/>
      <w:r w:rsidRPr="00C138DE">
        <w:rPr>
          <w:rFonts w:eastAsia="Times New Roman" w:cs="Times New Roman"/>
          <w:lang w:val="id-ID"/>
        </w:rPr>
        <w:t>into</w:t>
      </w:r>
      <w:proofErr w:type="spellEnd"/>
      <w:r w:rsidRPr="00C138DE">
        <w:rPr>
          <w:rFonts w:eastAsia="Times New Roman" w:cs="Times New Roman"/>
          <w:lang w:val="id-ID"/>
        </w:rPr>
        <w:t xml:space="preserve"> </w:t>
      </w:r>
      <w:proofErr w:type="spellStart"/>
      <w:r w:rsidRPr="00C138DE">
        <w:rPr>
          <w:rFonts w:eastAsia="Times New Roman" w:cs="Times New Roman"/>
          <w:lang w:val="id-ID"/>
        </w:rPr>
        <w:t>reduced</w:t>
      </w:r>
      <w:proofErr w:type="spellEnd"/>
      <w:r w:rsidRPr="00C138DE">
        <w:rPr>
          <w:rFonts w:eastAsia="Times New Roman" w:cs="Times New Roman"/>
          <w:lang w:val="id-ID"/>
        </w:rPr>
        <w:t xml:space="preserve"> </w:t>
      </w:r>
      <w:proofErr w:type="spellStart"/>
      <w:r w:rsidRPr="00C138DE">
        <w:rPr>
          <w:rFonts w:eastAsia="Times New Roman" w:cs="Times New Roman"/>
          <w:lang w:val="id-ID"/>
        </w:rPr>
        <w:t>volitional</w:t>
      </w:r>
      <w:proofErr w:type="spellEnd"/>
      <w:r w:rsidRPr="00C138DE">
        <w:rPr>
          <w:rFonts w:eastAsia="Times New Roman" w:cs="Times New Roman"/>
          <w:lang w:val="id-ID"/>
        </w:rPr>
        <w:t xml:space="preserve"> </w:t>
      </w:r>
      <w:proofErr w:type="spellStart"/>
      <w:r w:rsidRPr="00C138DE">
        <w:rPr>
          <w:rFonts w:eastAsia="Times New Roman" w:cs="Times New Roman"/>
          <w:lang w:val="id-ID"/>
        </w:rPr>
        <w:t>engagement</w:t>
      </w:r>
      <w:proofErr w:type="spellEnd"/>
      <w:r w:rsidRPr="00C138DE">
        <w:rPr>
          <w:rFonts w:eastAsia="Times New Roman" w:cs="Times New Roman"/>
          <w:lang w:val="id-ID"/>
        </w:rPr>
        <w:t xml:space="preserve"> in </w:t>
      </w:r>
      <w:proofErr w:type="spellStart"/>
      <w:r w:rsidRPr="00C138DE">
        <w:rPr>
          <w:rFonts w:eastAsia="Times New Roman" w:cs="Times New Roman"/>
          <w:lang w:val="id-ID"/>
        </w:rPr>
        <w:t>physical</w:t>
      </w:r>
      <w:proofErr w:type="spellEnd"/>
      <w:r w:rsidRPr="00C138DE">
        <w:rPr>
          <w:rFonts w:eastAsia="Times New Roman" w:cs="Times New Roman"/>
          <w:lang w:val="id-ID"/>
        </w:rPr>
        <w:t xml:space="preserve"> </w:t>
      </w:r>
      <w:proofErr w:type="spellStart"/>
      <w:r w:rsidRPr="00C138DE">
        <w:rPr>
          <w:rFonts w:eastAsia="Times New Roman" w:cs="Times New Roman"/>
          <w:lang w:val="id-ID"/>
        </w:rPr>
        <w:t>activity</w:t>
      </w:r>
      <w:proofErr w:type="spellEnd"/>
      <w:r w:rsidRPr="00C138DE">
        <w:rPr>
          <w:rFonts w:eastAsia="Times New Roman" w:cs="Times New Roman"/>
          <w:lang w:val="id-ID"/>
        </w:rPr>
        <w:t xml:space="preserve">, </w:t>
      </w:r>
      <w:proofErr w:type="spellStart"/>
      <w:r w:rsidRPr="00C138DE">
        <w:rPr>
          <w:rFonts w:eastAsia="Times New Roman" w:cs="Times New Roman"/>
          <w:lang w:val="id-ID"/>
        </w:rPr>
        <w:t>compounded</w:t>
      </w:r>
      <w:proofErr w:type="spellEnd"/>
      <w:r w:rsidRPr="00C138DE">
        <w:rPr>
          <w:rFonts w:eastAsia="Times New Roman" w:cs="Times New Roman"/>
          <w:lang w:val="id-ID"/>
        </w:rPr>
        <w:t xml:space="preserve"> in </w:t>
      </w:r>
      <w:proofErr w:type="spellStart"/>
      <w:r w:rsidRPr="00C138DE">
        <w:rPr>
          <w:rFonts w:eastAsia="Times New Roman" w:cs="Times New Roman"/>
          <w:lang w:val="id-ID"/>
        </w:rPr>
        <w:t>some</w:t>
      </w:r>
      <w:proofErr w:type="spellEnd"/>
      <w:r w:rsidRPr="00C138DE">
        <w:rPr>
          <w:rFonts w:eastAsia="Times New Roman" w:cs="Times New Roman"/>
          <w:lang w:val="id-ID"/>
        </w:rPr>
        <w:t xml:space="preserve"> </w:t>
      </w:r>
      <w:proofErr w:type="spellStart"/>
      <w:r w:rsidRPr="00C138DE">
        <w:rPr>
          <w:rFonts w:eastAsia="Times New Roman" w:cs="Times New Roman"/>
          <w:lang w:val="id-ID"/>
        </w:rPr>
        <w:t>cases</w:t>
      </w:r>
      <w:proofErr w:type="spellEnd"/>
      <w:r w:rsidRPr="00C138DE">
        <w:rPr>
          <w:rFonts w:eastAsia="Times New Roman" w:cs="Times New Roman"/>
          <w:lang w:val="id-ID"/>
        </w:rPr>
        <w:t xml:space="preserve"> </w:t>
      </w:r>
      <w:proofErr w:type="spellStart"/>
      <w:r w:rsidRPr="00C138DE">
        <w:rPr>
          <w:rFonts w:eastAsia="Times New Roman" w:cs="Times New Roman"/>
          <w:lang w:val="id-ID"/>
        </w:rPr>
        <w:t>by</w:t>
      </w:r>
      <w:proofErr w:type="spellEnd"/>
      <w:r w:rsidRPr="00C138DE">
        <w:rPr>
          <w:rFonts w:eastAsia="Times New Roman" w:cs="Times New Roman"/>
          <w:lang w:val="id-ID"/>
        </w:rPr>
        <w:t xml:space="preserve"> </w:t>
      </w:r>
      <w:proofErr w:type="spellStart"/>
      <w:r w:rsidRPr="00C138DE">
        <w:rPr>
          <w:rFonts w:eastAsia="Times New Roman" w:cs="Times New Roman"/>
          <w:lang w:val="id-ID"/>
        </w:rPr>
        <w:t>oropharyngeal</w:t>
      </w:r>
      <w:proofErr w:type="spellEnd"/>
      <w:r w:rsidRPr="00C138DE">
        <w:rPr>
          <w:rFonts w:eastAsia="Times New Roman" w:cs="Times New Roman"/>
          <w:lang w:val="id-ID"/>
        </w:rPr>
        <w:t xml:space="preserve"> </w:t>
      </w:r>
      <w:proofErr w:type="spellStart"/>
      <w:r w:rsidRPr="00C138DE">
        <w:rPr>
          <w:rFonts w:eastAsia="Times New Roman" w:cs="Times New Roman"/>
          <w:lang w:val="id-ID"/>
        </w:rPr>
        <w:t>dysphagia</w:t>
      </w:r>
      <w:proofErr w:type="spellEnd"/>
      <w:r w:rsidRPr="00C138DE">
        <w:rPr>
          <w:rFonts w:eastAsia="Times New Roman" w:cs="Times New Roman"/>
          <w:lang w:val="id-ID"/>
        </w:rPr>
        <w:t xml:space="preserve">; </w:t>
      </w:r>
      <w:proofErr w:type="spellStart"/>
      <w:r w:rsidRPr="00C138DE">
        <w:rPr>
          <w:rFonts w:eastAsia="Times New Roman" w:cs="Times New Roman"/>
          <w:lang w:val="id-ID"/>
        </w:rPr>
        <w:t>together</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these</w:t>
      </w:r>
      <w:proofErr w:type="spellEnd"/>
      <w:r w:rsidRPr="00C138DE">
        <w:rPr>
          <w:rFonts w:eastAsia="Times New Roman" w:cs="Times New Roman"/>
          <w:lang w:val="id-ID"/>
        </w:rPr>
        <w:t xml:space="preserve"> </w:t>
      </w:r>
      <w:proofErr w:type="spellStart"/>
      <w:r w:rsidRPr="00C138DE">
        <w:rPr>
          <w:rFonts w:eastAsia="Times New Roman" w:cs="Times New Roman"/>
          <w:lang w:val="id-ID"/>
        </w:rPr>
        <w:t>sequelae</w:t>
      </w:r>
      <w:proofErr w:type="spellEnd"/>
      <w:r w:rsidRPr="00C138DE">
        <w:rPr>
          <w:rFonts w:eastAsia="Times New Roman" w:cs="Times New Roman"/>
          <w:lang w:val="id-ID"/>
        </w:rPr>
        <w:t xml:space="preserve"> </w:t>
      </w:r>
      <w:proofErr w:type="spellStart"/>
      <w:r w:rsidRPr="00C138DE">
        <w:rPr>
          <w:rFonts w:eastAsia="Times New Roman" w:cs="Times New Roman"/>
          <w:lang w:val="id-ID"/>
        </w:rPr>
        <w:t>accelerate</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catabolic</w:t>
      </w:r>
      <w:proofErr w:type="spellEnd"/>
      <w:r w:rsidRPr="00C138DE">
        <w:rPr>
          <w:rFonts w:eastAsia="Times New Roman" w:cs="Times New Roman"/>
          <w:lang w:val="id-ID"/>
        </w:rPr>
        <w:t xml:space="preserve"> </w:t>
      </w:r>
      <w:proofErr w:type="spellStart"/>
      <w:r w:rsidRPr="00C138DE">
        <w:rPr>
          <w:rFonts w:eastAsia="Times New Roman" w:cs="Times New Roman"/>
          <w:lang w:val="id-ID"/>
        </w:rPr>
        <w:t>erosion</w:t>
      </w:r>
      <w:proofErr w:type="spellEnd"/>
      <w:r w:rsidRPr="00C138DE">
        <w:rPr>
          <w:rFonts w:eastAsia="Times New Roman" w:cs="Times New Roman"/>
          <w:lang w:val="id-ID"/>
        </w:rPr>
        <w:t xml:space="preserve"> </w:t>
      </w:r>
      <w:proofErr w:type="spellStart"/>
      <w:r w:rsidRPr="00C138DE">
        <w:rPr>
          <w:rFonts w:eastAsia="Times New Roman" w:cs="Times New Roman"/>
          <w:lang w:val="id-ID"/>
        </w:rPr>
        <w:t>of</w:t>
      </w:r>
      <w:proofErr w:type="spellEnd"/>
      <w:r w:rsidRPr="00C138DE">
        <w:rPr>
          <w:rFonts w:eastAsia="Times New Roman" w:cs="Times New Roman"/>
          <w:lang w:val="id-ID"/>
        </w:rPr>
        <w:t xml:space="preserve"> </w:t>
      </w:r>
      <w:proofErr w:type="spellStart"/>
      <w:r w:rsidRPr="00C138DE">
        <w:rPr>
          <w:rFonts w:eastAsia="Times New Roman" w:cs="Times New Roman"/>
          <w:lang w:val="id-ID"/>
        </w:rPr>
        <w:t>lean</w:t>
      </w:r>
      <w:proofErr w:type="spellEnd"/>
      <w:r w:rsidRPr="00C138DE">
        <w:rPr>
          <w:rFonts w:eastAsia="Times New Roman" w:cs="Times New Roman"/>
          <w:lang w:val="id-ID"/>
        </w:rPr>
        <w:t xml:space="preserve"> </w:t>
      </w:r>
      <w:proofErr w:type="spellStart"/>
      <w:r w:rsidRPr="00C138DE">
        <w:rPr>
          <w:rFonts w:eastAsia="Times New Roman" w:cs="Times New Roman"/>
          <w:lang w:val="id-ID"/>
        </w:rPr>
        <w:t>body</w:t>
      </w:r>
      <w:proofErr w:type="spellEnd"/>
      <w:r w:rsidRPr="00C138DE">
        <w:rPr>
          <w:rFonts w:eastAsia="Times New Roman" w:cs="Times New Roman"/>
          <w:lang w:val="id-ID"/>
        </w:rPr>
        <w:t xml:space="preserve"> </w:t>
      </w:r>
      <w:proofErr w:type="spellStart"/>
      <w:r w:rsidRPr="00C138DE">
        <w:rPr>
          <w:rFonts w:eastAsia="Times New Roman" w:cs="Times New Roman"/>
          <w:lang w:val="id-ID"/>
        </w:rPr>
        <w:t>mass</w:t>
      </w:r>
      <w:proofErr w:type="spellEnd"/>
      <w:r w:rsidRPr="00C138DE">
        <w:rPr>
          <w:rFonts w:eastAsia="Times New Roman" w:cs="Times New Roman"/>
          <w:lang w:val="id-ID"/>
        </w:rPr>
        <w:t xml:space="preserve"> </w:t>
      </w:r>
      <w:proofErr w:type="spellStart"/>
      <w:r w:rsidRPr="00C138DE">
        <w:rPr>
          <w:rFonts w:eastAsia="Times New Roman" w:cs="Times New Roman"/>
          <w:lang w:val="id-ID"/>
        </w:rPr>
        <w:t>and</w:t>
      </w:r>
      <w:proofErr w:type="spellEnd"/>
      <w:r w:rsidRPr="00C138DE">
        <w:rPr>
          <w:rFonts w:eastAsia="Times New Roman" w:cs="Times New Roman"/>
          <w:lang w:val="id-ID"/>
        </w:rPr>
        <w:t xml:space="preserve"> </w:t>
      </w:r>
      <w:proofErr w:type="spellStart"/>
      <w:r w:rsidRPr="00C138DE">
        <w:rPr>
          <w:rFonts w:eastAsia="Times New Roman" w:cs="Times New Roman"/>
          <w:lang w:val="id-ID"/>
        </w:rPr>
        <w:t>expedite</w:t>
      </w:r>
      <w:proofErr w:type="spellEnd"/>
      <w:r w:rsidRPr="00C138DE">
        <w:rPr>
          <w:rFonts w:eastAsia="Times New Roman" w:cs="Times New Roman"/>
          <w:lang w:val="id-ID"/>
        </w:rPr>
        <w:t xml:space="preserve"> </w:t>
      </w:r>
      <w:proofErr w:type="spellStart"/>
      <w:r w:rsidRPr="00C138DE">
        <w:rPr>
          <w:rFonts w:eastAsia="Times New Roman" w:cs="Times New Roman"/>
          <w:lang w:val="id-ID"/>
        </w:rPr>
        <w:t>sarcopenic</w:t>
      </w:r>
      <w:proofErr w:type="spellEnd"/>
      <w:r w:rsidRPr="00C138DE">
        <w:rPr>
          <w:rFonts w:eastAsia="Times New Roman" w:cs="Times New Roman"/>
          <w:lang w:val="id-ID"/>
        </w:rPr>
        <w:t xml:space="preserve"> </w:t>
      </w:r>
      <w:proofErr w:type="spellStart"/>
      <w:r w:rsidRPr="00C138DE">
        <w:rPr>
          <w:rFonts w:eastAsia="Times New Roman" w:cs="Times New Roman"/>
          <w:lang w:val="id-ID"/>
        </w:rPr>
        <w:t>deterioration</w:t>
      </w:r>
      <w:proofErr w:type="spellEnd"/>
      <w:r w:rsidRPr="00C138DE">
        <w:rPr>
          <w:rFonts w:eastAsia="Times New Roman" w:cs="Times New Roman"/>
          <w:lang w:val="id-ID"/>
        </w:rPr>
        <w:t xml:space="preserve">. At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subcellular</w:t>
      </w:r>
      <w:proofErr w:type="spellEnd"/>
      <w:r w:rsidRPr="00C138DE">
        <w:rPr>
          <w:rFonts w:eastAsia="Times New Roman" w:cs="Times New Roman"/>
          <w:lang w:val="id-ID"/>
        </w:rPr>
        <w:t xml:space="preserve"> level,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intensified</w:t>
      </w:r>
      <w:proofErr w:type="spellEnd"/>
      <w:r w:rsidRPr="00C138DE">
        <w:rPr>
          <w:rFonts w:eastAsia="Times New Roman" w:cs="Times New Roman"/>
          <w:lang w:val="id-ID"/>
        </w:rPr>
        <w:t xml:space="preserve"> </w:t>
      </w:r>
      <w:proofErr w:type="spellStart"/>
      <w:r w:rsidRPr="00C138DE">
        <w:rPr>
          <w:rFonts w:eastAsia="Times New Roman" w:cs="Times New Roman"/>
          <w:lang w:val="id-ID"/>
        </w:rPr>
        <w:t>oxidative</w:t>
      </w:r>
      <w:proofErr w:type="spellEnd"/>
      <w:r w:rsidRPr="00C138DE">
        <w:rPr>
          <w:rFonts w:eastAsia="Times New Roman" w:cs="Times New Roman"/>
          <w:lang w:val="id-ID"/>
        </w:rPr>
        <w:t xml:space="preserve"> milieu </w:t>
      </w:r>
      <w:proofErr w:type="spellStart"/>
      <w:r w:rsidRPr="00C138DE">
        <w:rPr>
          <w:rFonts w:eastAsia="Times New Roman" w:cs="Times New Roman"/>
          <w:lang w:val="id-ID"/>
        </w:rPr>
        <w:t>that</w:t>
      </w:r>
      <w:proofErr w:type="spellEnd"/>
      <w:r w:rsidRPr="00C138DE">
        <w:rPr>
          <w:rFonts w:eastAsia="Times New Roman" w:cs="Times New Roman"/>
          <w:lang w:val="id-ID"/>
        </w:rPr>
        <w:t xml:space="preserve"> </w:t>
      </w:r>
      <w:proofErr w:type="spellStart"/>
      <w:r w:rsidRPr="00C138DE">
        <w:rPr>
          <w:rFonts w:eastAsia="Times New Roman" w:cs="Times New Roman"/>
          <w:lang w:val="id-ID"/>
        </w:rPr>
        <w:t>accompanies</w:t>
      </w:r>
      <w:proofErr w:type="spellEnd"/>
      <w:r w:rsidRPr="00C138DE">
        <w:rPr>
          <w:rFonts w:eastAsia="Times New Roman" w:cs="Times New Roman"/>
          <w:lang w:val="id-ID"/>
        </w:rPr>
        <w:t xml:space="preserve"> </w:t>
      </w:r>
      <w:proofErr w:type="spellStart"/>
      <w:r w:rsidRPr="00C138DE">
        <w:rPr>
          <w:rFonts w:eastAsia="Times New Roman" w:cs="Times New Roman"/>
          <w:lang w:val="id-ID"/>
        </w:rPr>
        <w:t>neurodegeneration</w:t>
      </w:r>
      <w:proofErr w:type="spellEnd"/>
      <w:r w:rsidRPr="00C138DE">
        <w:rPr>
          <w:rFonts w:eastAsia="Times New Roman" w:cs="Times New Roman"/>
          <w:lang w:val="id-ID"/>
        </w:rPr>
        <w:t xml:space="preserve"> </w:t>
      </w:r>
      <w:proofErr w:type="spellStart"/>
      <w:r w:rsidRPr="00C138DE">
        <w:rPr>
          <w:rFonts w:eastAsia="Times New Roman" w:cs="Times New Roman"/>
          <w:lang w:val="id-ID"/>
        </w:rPr>
        <w:t>impedes</w:t>
      </w:r>
      <w:proofErr w:type="spellEnd"/>
      <w:r w:rsidRPr="00C138DE">
        <w:rPr>
          <w:rFonts w:eastAsia="Times New Roman" w:cs="Times New Roman"/>
          <w:lang w:val="id-ID"/>
        </w:rPr>
        <w:t xml:space="preserve"> </w:t>
      </w:r>
      <w:proofErr w:type="spellStart"/>
      <w:r w:rsidRPr="00C138DE">
        <w:rPr>
          <w:rFonts w:eastAsia="Times New Roman" w:cs="Times New Roman"/>
          <w:lang w:val="id-ID"/>
        </w:rPr>
        <w:t>anabolic</w:t>
      </w:r>
      <w:proofErr w:type="spellEnd"/>
      <w:r w:rsidRPr="00C138DE">
        <w:rPr>
          <w:rFonts w:eastAsia="Times New Roman" w:cs="Times New Roman"/>
          <w:lang w:val="id-ID"/>
        </w:rPr>
        <w:t xml:space="preserve"> protein </w:t>
      </w:r>
      <w:proofErr w:type="spellStart"/>
      <w:r w:rsidRPr="00C138DE">
        <w:rPr>
          <w:rFonts w:eastAsia="Times New Roman" w:cs="Times New Roman"/>
          <w:lang w:val="id-ID"/>
        </w:rPr>
        <w:t>synthesis</w:t>
      </w:r>
      <w:proofErr w:type="spellEnd"/>
      <w:r w:rsidRPr="00C138DE">
        <w:rPr>
          <w:rFonts w:eastAsia="Times New Roman" w:cs="Times New Roman"/>
          <w:lang w:val="id-ID"/>
        </w:rPr>
        <w:t xml:space="preserve"> in </w:t>
      </w:r>
      <w:proofErr w:type="spellStart"/>
      <w:r w:rsidRPr="00C138DE">
        <w:rPr>
          <w:rFonts w:eastAsia="Times New Roman" w:cs="Times New Roman"/>
          <w:lang w:val="id-ID"/>
        </w:rPr>
        <w:t>myofibers</w:t>
      </w:r>
      <w:proofErr w:type="spellEnd"/>
      <w:r w:rsidRPr="00C138DE">
        <w:rPr>
          <w:rFonts w:eastAsia="Times New Roman" w:cs="Times New Roman"/>
          <w:lang w:val="id-ID"/>
        </w:rPr>
        <w:t xml:space="preserve">, </w:t>
      </w:r>
      <w:proofErr w:type="spellStart"/>
      <w:r w:rsidRPr="00C138DE">
        <w:rPr>
          <w:rFonts w:eastAsia="Times New Roman" w:cs="Times New Roman"/>
          <w:lang w:val="id-ID"/>
        </w:rPr>
        <w:t>destabilizes</w:t>
      </w:r>
      <w:proofErr w:type="spellEnd"/>
      <w:r w:rsidRPr="00C138DE">
        <w:rPr>
          <w:rFonts w:eastAsia="Times New Roman" w:cs="Times New Roman"/>
          <w:lang w:val="id-ID"/>
        </w:rPr>
        <w:t xml:space="preserve"> </w:t>
      </w:r>
      <w:proofErr w:type="spellStart"/>
      <w:r w:rsidRPr="00C138DE">
        <w:rPr>
          <w:rFonts w:eastAsia="Times New Roman" w:cs="Times New Roman"/>
          <w:lang w:val="id-ID"/>
        </w:rPr>
        <w:t>metabolic</w:t>
      </w:r>
      <w:proofErr w:type="spellEnd"/>
      <w:r w:rsidRPr="00C138DE">
        <w:rPr>
          <w:rFonts w:eastAsia="Times New Roman" w:cs="Times New Roman"/>
          <w:lang w:val="id-ID"/>
        </w:rPr>
        <w:t xml:space="preserve"> </w:t>
      </w:r>
      <w:proofErr w:type="spellStart"/>
      <w:r w:rsidRPr="00C138DE">
        <w:rPr>
          <w:rFonts w:eastAsia="Times New Roman" w:cs="Times New Roman"/>
          <w:lang w:val="id-ID"/>
        </w:rPr>
        <w:t>enzymatic</w:t>
      </w:r>
      <w:proofErr w:type="spellEnd"/>
      <w:r w:rsidRPr="00C138DE">
        <w:rPr>
          <w:rFonts w:eastAsia="Times New Roman" w:cs="Times New Roman"/>
          <w:lang w:val="id-ID"/>
        </w:rPr>
        <w:t xml:space="preserve"> </w:t>
      </w:r>
      <w:proofErr w:type="spellStart"/>
      <w:r w:rsidRPr="00C138DE">
        <w:rPr>
          <w:rFonts w:eastAsia="Times New Roman" w:cs="Times New Roman"/>
          <w:lang w:val="id-ID"/>
        </w:rPr>
        <w:t>cascades</w:t>
      </w:r>
      <w:proofErr w:type="spellEnd"/>
      <w:r w:rsidRPr="00C138DE">
        <w:rPr>
          <w:rFonts w:eastAsia="Times New Roman" w:cs="Times New Roman"/>
          <w:lang w:val="id-ID"/>
        </w:rPr>
        <w:t xml:space="preserve">, </w:t>
      </w:r>
      <w:proofErr w:type="spellStart"/>
      <w:r w:rsidRPr="00C138DE">
        <w:rPr>
          <w:rFonts w:eastAsia="Times New Roman" w:cs="Times New Roman"/>
          <w:lang w:val="id-ID"/>
        </w:rPr>
        <w:t>and</w:t>
      </w:r>
      <w:proofErr w:type="spellEnd"/>
      <w:r w:rsidRPr="00C138DE">
        <w:rPr>
          <w:rFonts w:eastAsia="Times New Roman" w:cs="Times New Roman"/>
          <w:lang w:val="id-ID"/>
        </w:rPr>
        <w:t xml:space="preserve"> </w:t>
      </w:r>
      <w:proofErr w:type="spellStart"/>
      <w:r w:rsidRPr="00C138DE">
        <w:rPr>
          <w:rFonts w:eastAsia="Times New Roman" w:cs="Times New Roman"/>
          <w:lang w:val="id-ID"/>
        </w:rPr>
        <w:t>triggers</w:t>
      </w:r>
      <w:proofErr w:type="spellEnd"/>
      <w:r w:rsidRPr="00C138DE">
        <w:rPr>
          <w:rFonts w:eastAsia="Times New Roman" w:cs="Times New Roman"/>
          <w:lang w:val="id-ID"/>
        </w:rPr>
        <w:t xml:space="preserve"> </w:t>
      </w:r>
      <w:proofErr w:type="spellStart"/>
      <w:r w:rsidRPr="00C138DE">
        <w:rPr>
          <w:rFonts w:eastAsia="Times New Roman" w:cs="Times New Roman"/>
          <w:lang w:val="id-ID"/>
        </w:rPr>
        <w:t>mitochondrial</w:t>
      </w:r>
      <w:proofErr w:type="spellEnd"/>
      <w:r w:rsidRPr="00C138DE">
        <w:rPr>
          <w:rFonts w:eastAsia="Times New Roman" w:cs="Times New Roman"/>
          <w:lang w:val="id-ID"/>
        </w:rPr>
        <w:t xml:space="preserve"> </w:t>
      </w:r>
      <w:proofErr w:type="spellStart"/>
      <w:r w:rsidRPr="00C138DE">
        <w:rPr>
          <w:rFonts w:eastAsia="Times New Roman" w:cs="Times New Roman"/>
          <w:lang w:val="id-ID"/>
        </w:rPr>
        <w:t>dysfunction</w:t>
      </w:r>
      <w:proofErr w:type="spellEnd"/>
      <w:r w:rsidRPr="00C138DE">
        <w:rPr>
          <w:rFonts w:eastAsia="Times New Roman" w:cs="Times New Roman"/>
          <w:lang w:val="id-ID"/>
        </w:rPr>
        <w:t xml:space="preserve"> </w:t>
      </w:r>
      <w:proofErr w:type="spellStart"/>
      <w:r w:rsidRPr="00C138DE">
        <w:rPr>
          <w:rFonts w:eastAsia="Times New Roman" w:cs="Times New Roman"/>
          <w:lang w:val="id-ID"/>
        </w:rPr>
        <w:t>culminating</w:t>
      </w:r>
      <w:proofErr w:type="spellEnd"/>
      <w:r w:rsidRPr="00C138DE">
        <w:rPr>
          <w:rFonts w:eastAsia="Times New Roman" w:cs="Times New Roman"/>
          <w:lang w:val="id-ID"/>
        </w:rPr>
        <w:t xml:space="preserve"> in </w:t>
      </w:r>
      <w:proofErr w:type="spellStart"/>
      <w:r w:rsidRPr="00C138DE">
        <w:rPr>
          <w:rFonts w:eastAsia="Times New Roman" w:cs="Times New Roman"/>
          <w:lang w:val="id-ID"/>
        </w:rPr>
        <w:t>programmed</w:t>
      </w:r>
      <w:proofErr w:type="spellEnd"/>
      <w:r w:rsidRPr="00C138DE">
        <w:rPr>
          <w:rFonts w:eastAsia="Times New Roman" w:cs="Times New Roman"/>
          <w:lang w:val="id-ID"/>
        </w:rPr>
        <w:t xml:space="preserve"> </w:t>
      </w:r>
      <w:proofErr w:type="spellStart"/>
      <w:r w:rsidRPr="00C138DE">
        <w:rPr>
          <w:rFonts w:eastAsia="Times New Roman" w:cs="Times New Roman"/>
          <w:lang w:val="id-ID"/>
        </w:rPr>
        <w:t>myocyte</w:t>
      </w:r>
      <w:proofErr w:type="spellEnd"/>
      <w:r w:rsidRPr="00C138DE">
        <w:rPr>
          <w:rFonts w:eastAsia="Times New Roman" w:cs="Times New Roman"/>
          <w:lang w:val="id-ID"/>
        </w:rPr>
        <w:t xml:space="preserve"> </w:t>
      </w:r>
      <w:proofErr w:type="spellStart"/>
      <w:r w:rsidRPr="00C138DE">
        <w:rPr>
          <w:rFonts w:eastAsia="Times New Roman" w:cs="Times New Roman"/>
          <w:lang w:val="id-ID"/>
        </w:rPr>
        <w:t>death</w:t>
      </w:r>
      <w:proofErr w:type="spellEnd"/>
      <w:r w:rsidRPr="00C138DE">
        <w:rPr>
          <w:rFonts w:eastAsia="Times New Roman" w:cs="Times New Roman"/>
          <w:lang w:val="id-ID"/>
        </w:rPr>
        <w:t xml:space="preserve">, </w:t>
      </w:r>
      <w:proofErr w:type="spellStart"/>
      <w:r w:rsidRPr="00C138DE">
        <w:rPr>
          <w:rFonts w:eastAsia="Times New Roman" w:cs="Times New Roman"/>
          <w:lang w:val="id-ID"/>
        </w:rPr>
        <w:t>processes</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that</w:t>
      </w:r>
      <w:proofErr w:type="spellEnd"/>
      <w:r w:rsidRPr="00C138DE">
        <w:rPr>
          <w:rFonts w:eastAsia="Times New Roman" w:cs="Times New Roman"/>
          <w:lang w:val="id-ID"/>
        </w:rPr>
        <w:t xml:space="preserve"> </w:t>
      </w:r>
      <w:proofErr w:type="spellStart"/>
      <w:r w:rsidRPr="00C138DE">
        <w:rPr>
          <w:rFonts w:eastAsia="Times New Roman" w:cs="Times New Roman"/>
          <w:lang w:val="id-ID"/>
        </w:rPr>
        <w:t>collectively</w:t>
      </w:r>
      <w:proofErr w:type="spellEnd"/>
      <w:r w:rsidRPr="00C138DE">
        <w:rPr>
          <w:rFonts w:eastAsia="Times New Roman" w:cs="Times New Roman"/>
          <w:lang w:val="id-ID"/>
        </w:rPr>
        <w:t xml:space="preserve"> </w:t>
      </w:r>
      <w:proofErr w:type="spellStart"/>
      <w:r w:rsidRPr="00C138DE">
        <w:rPr>
          <w:rFonts w:eastAsia="Times New Roman" w:cs="Times New Roman"/>
          <w:lang w:val="id-ID"/>
        </w:rPr>
        <w:t>amplify</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individual’s</w:t>
      </w:r>
      <w:proofErr w:type="spellEnd"/>
      <w:r w:rsidRPr="00C138DE">
        <w:rPr>
          <w:rFonts w:eastAsia="Times New Roman" w:cs="Times New Roman"/>
          <w:lang w:val="id-ID"/>
        </w:rPr>
        <w:t xml:space="preserve"> </w:t>
      </w:r>
      <w:proofErr w:type="spellStart"/>
      <w:r w:rsidRPr="00C138DE">
        <w:rPr>
          <w:rFonts w:eastAsia="Times New Roman" w:cs="Times New Roman"/>
          <w:lang w:val="id-ID"/>
        </w:rPr>
        <w:t>vulnerability</w:t>
      </w:r>
      <w:proofErr w:type="spellEnd"/>
      <w:r w:rsidRPr="00C138DE">
        <w:rPr>
          <w:rFonts w:eastAsia="Times New Roman" w:cs="Times New Roman"/>
          <w:lang w:val="id-ID"/>
        </w:rPr>
        <w:t xml:space="preserve"> </w:t>
      </w:r>
      <w:proofErr w:type="spellStart"/>
      <w:r w:rsidRPr="00C138DE">
        <w:rPr>
          <w:rFonts w:eastAsia="Times New Roman" w:cs="Times New Roman"/>
          <w:lang w:val="id-ID"/>
        </w:rPr>
        <w:t>to</w:t>
      </w:r>
      <w:proofErr w:type="spellEnd"/>
      <w:r w:rsidRPr="00C138DE">
        <w:rPr>
          <w:rFonts w:eastAsia="Times New Roman" w:cs="Times New Roman"/>
          <w:lang w:val="id-ID"/>
        </w:rPr>
        <w:t xml:space="preserve"> </w:t>
      </w:r>
      <w:proofErr w:type="spellStart"/>
      <w:r w:rsidRPr="00C138DE">
        <w:rPr>
          <w:rFonts w:eastAsia="Times New Roman" w:cs="Times New Roman"/>
          <w:lang w:val="id-ID"/>
        </w:rPr>
        <w:t>sarcopenia</w:t>
      </w:r>
      <w:proofErr w:type="spellEnd"/>
      <w:r w:rsidR="009C2791" w:rsidRPr="00C138DE">
        <w:rPr>
          <w:rFonts w:eastAsia="Times New Roman" w:cs="Times New Roman"/>
          <w:lang w:val="id-ID"/>
        </w:rPr>
        <w:t xml:space="preserve"> </w:t>
      </w:r>
      <w:hyperlink w:anchor="Liu" w:history="1">
        <w:r w:rsidR="009C2791" w:rsidRPr="00C138DE">
          <w:rPr>
            <w:rStyle w:val="Hyperlink"/>
            <w:rFonts w:eastAsia="Times New Roman" w:cs="Times New Roman"/>
            <w:u w:val="none"/>
            <w:lang w:val="id-ID"/>
          </w:rPr>
          <w:t xml:space="preserve">(Liu </w:t>
        </w:r>
        <w:proofErr w:type="spellStart"/>
        <w:r w:rsidR="009C2791" w:rsidRPr="00C138DE">
          <w:rPr>
            <w:rStyle w:val="Hyperlink"/>
            <w:rFonts w:eastAsia="Times New Roman" w:cs="Times New Roman"/>
            <w:u w:val="none"/>
            <w:lang w:val="id-ID"/>
          </w:rPr>
          <w:t>et</w:t>
        </w:r>
        <w:proofErr w:type="spellEnd"/>
        <w:r w:rsidR="009C2791" w:rsidRPr="00C138DE">
          <w:rPr>
            <w:rStyle w:val="Hyperlink"/>
            <w:rFonts w:eastAsia="Times New Roman" w:cs="Times New Roman"/>
            <w:u w:val="none"/>
            <w:lang w:val="id-ID"/>
          </w:rPr>
          <w:t xml:space="preserve"> </w:t>
        </w:r>
        <w:proofErr w:type="spellStart"/>
        <w:r w:rsidR="009C2791" w:rsidRPr="00C138DE">
          <w:rPr>
            <w:rStyle w:val="Hyperlink"/>
            <w:rFonts w:eastAsia="Times New Roman" w:cs="Times New Roman"/>
            <w:u w:val="none"/>
            <w:lang w:val="id-ID"/>
          </w:rPr>
          <w:t>al.</w:t>
        </w:r>
        <w:proofErr w:type="spellEnd"/>
        <w:r w:rsidR="009C2791" w:rsidRPr="00C138DE">
          <w:rPr>
            <w:rStyle w:val="Hyperlink"/>
            <w:rFonts w:eastAsia="Times New Roman" w:cs="Times New Roman"/>
            <w:u w:val="none"/>
            <w:lang w:val="id-ID"/>
          </w:rPr>
          <w:t>, 2024)</w:t>
        </w:r>
      </w:hyperlink>
      <w:r w:rsidR="009C2791" w:rsidRPr="00C138DE">
        <w:rPr>
          <w:rFonts w:eastAsia="Times New Roman" w:cs="Times New Roman"/>
          <w:lang w:val="id-ID"/>
        </w:rPr>
        <w:t>.</w:t>
      </w:r>
    </w:p>
    <w:p w14:paraId="4A713D0D" w14:textId="3EBA9296" w:rsidR="00E24B88" w:rsidRPr="00C138DE" w:rsidRDefault="00E24B88" w:rsidP="00E24B88">
      <w:pPr>
        <w:ind w:left="284" w:right="288" w:firstLine="720"/>
        <w:jc w:val="both"/>
        <w:rPr>
          <w:rFonts w:eastAsia="Times New Roman" w:cs="Times New Roman"/>
          <w:lang w:val="id-ID"/>
        </w:rPr>
      </w:pPr>
      <w:proofErr w:type="spellStart"/>
      <w:r w:rsidRPr="00C138DE">
        <w:rPr>
          <w:rFonts w:eastAsia="Times New Roman" w:cs="Times New Roman"/>
          <w:lang w:val="id-ID"/>
        </w:rPr>
        <w:t>From</w:t>
      </w:r>
      <w:proofErr w:type="spellEnd"/>
      <w:r w:rsidRPr="00C138DE">
        <w:rPr>
          <w:rFonts w:eastAsia="Times New Roman" w:cs="Times New Roman"/>
          <w:lang w:val="id-ID"/>
        </w:rPr>
        <w:t xml:space="preserve"> a </w:t>
      </w:r>
      <w:proofErr w:type="spellStart"/>
      <w:r w:rsidRPr="00C138DE">
        <w:rPr>
          <w:rFonts w:eastAsia="Times New Roman" w:cs="Times New Roman"/>
          <w:lang w:val="id-ID"/>
        </w:rPr>
        <w:t>translational</w:t>
      </w:r>
      <w:proofErr w:type="spellEnd"/>
      <w:r w:rsidRPr="00C138DE">
        <w:rPr>
          <w:rFonts w:eastAsia="Times New Roman" w:cs="Times New Roman"/>
          <w:lang w:val="id-ID"/>
        </w:rPr>
        <w:t xml:space="preserve"> </w:t>
      </w:r>
      <w:proofErr w:type="spellStart"/>
      <w:r w:rsidRPr="00C138DE">
        <w:rPr>
          <w:rFonts w:eastAsia="Times New Roman" w:cs="Times New Roman"/>
          <w:lang w:val="id-ID"/>
        </w:rPr>
        <w:t>standpoint</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these</w:t>
      </w:r>
      <w:proofErr w:type="spellEnd"/>
      <w:r w:rsidRPr="00C138DE">
        <w:rPr>
          <w:rFonts w:eastAsia="Times New Roman" w:cs="Times New Roman"/>
          <w:lang w:val="id-ID"/>
        </w:rPr>
        <w:t xml:space="preserve"> </w:t>
      </w:r>
      <w:proofErr w:type="spellStart"/>
      <w:r w:rsidRPr="00C138DE">
        <w:rPr>
          <w:rFonts w:eastAsia="Times New Roman" w:cs="Times New Roman"/>
          <w:lang w:val="id-ID"/>
        </w:rPr>
        <w:t>findings</w:t>
      </w:r>
      <w:proofErr w:type="spellEnd"/>
      <w:r w:rsidRPr="00C138DE">
        <w:rPr>
          <w:rFonts w:eastAsia="Times New Roman" w:cs="Times New Roman"/>
          <w:lang w:val="id-ID"/>
        </w:rPr>
        <w:t xml:space="preserve"> </w:t>
      </w:r>
      <w:proofErr w:type="spellStart"/>
      <w:r w:rsidRPr="00C138DE">
        <w:rPr>
          <w:rFonts w:eastAsia="Times New Roman" w:cs="Times New Roman"/>
          <w:lang w:val="id-ID"/>
        </w:rPr>
        <w:t>carry</w:t>
      </w:r>
      <w:proofErr w:type="spellEnd"/>
      <w:r w:rsidRPr="00C138DE">
        <w:rPr>
          <w:rFonts w:eastAsia="Times New Roman" w:cs="Times New Roman"/>
          <w:lang w:val="id-ID"/>
        </w:rPr>
        <w:t xml:space="preserve"> </w:t>
      </w:r>
      <w:proofErr w:type="spellStart"/>
      <w:r w:rsidRPr="00C138DE">
        <w:rPr>
          <w:rFonts w:eastAsia="Times New Roman" w:cs="Times New Roman"/>
          <w:lang w:val="id-ID"/>
        </w:rPr>
        <w:t>several</w:t>
      </w:r>
      <w:proofErr w:type="spellEnd"/>
      <w:r w:rsidRPr="00C138DE">
        <w:rPr>
          <w:rFonts w:eastAsia="Times New Roman" w:cs="Times New Roman"/>
          <w:lang w:val="id-ID"/>
        </w:rPr>
        <w:t xml:space="preserve"> </w:t>
      </w:r>
      <w:proofErr w:type="spellStart"/>
      <w:r w:rsidRPr="00C138DE">
        <w:rPr>
          <w:rFonts w:eastAsia="Times New Roman" w:cs="Times New Roman"/>
          <w:lang w:val="id-ID"/>
        </w:rPr>
        <w:t>noteworthy</w:t>
      </w:r>
      <w:proofErr w:type="spellEnd"/>
      <w:r w:rsidRPr="00C138DE">
        <w:rPr>
          <w:rFonts w:eastAsia="Times New Roman" w:cs="Times New Roman"/>
          <w:lang w:val="id-ID"/>
        </w:rPr>
        <w:t xml:space="preserve"> </w:t>
      </w:r>
      <w:proofErr w:type="spellStart"/>
      <w:r w:rsidRPr="00C138DE">
        <w:rPr>
          <w:rFonts w:eastAsia="Times New Roman" w:cs="Times New Roman"/>
          <w:lang w:val="id-ID"/>
        </w:rPr>
        <w:t>implications</w:t>
      </w:r>
      <w:proofErr w:type="spellEnd"/>
      <w:r w:rsidRPr="00C138DE">
        <w:rPr>
          <w:rFonts w:eastAsia="Times New Roman" w:cs="Times New Roman"/>
          <w:lang w:val="id-ID"/>
        </w:rPr>
        <w:t xml:space="preserve">. The </w:t>
      </w:r>
      <w:proofErr w:type="spellStart"/>
      <w:r w:rsidRPr="00C138DE">
        <w:rPr>
          <w:rFonts w:eastAsia="Times New Roman" w:cs="Times New Roman"/>
          <w:lang w:val="id-ID"/>
        </w:rPr>
        <w:t>demonstration</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that</w:t>
      </w:r>
      <w:proofErr w:type="spellEnd"/>
      <w:r w:rsidRPr="00C138DE">
        <w:rPr>
          <w:rFonts w:eastAsia="Times New Roman" w:cs="Times New Roman"/>
          <w:lang w:val="id-ID"/>
        </w:rPr>
        <w:t xml:space="preserve"> </w:t>
      </w:r>
      <w:proofErr w:type="spellStart"/>
      <w:r w:rsidRPr="00C138DE">
        <w:rPr>
          <w:rFonts w:eastAsia="Times New Roman" w:cs="Times New Roman"/>
          <w:lang w:val="id-ID"/>
        </w:rPr>
        <w:t>sarcopenia</w:t>
      </w:r>
      <w:proofErr w:type="spellEnd"/>
      <w:r w:rsidRPr="00C138DE">
        <w:rPr>
          <w:rFonts w:eastAsia="Times New Roman" w:cs="Times New Roman"/>
          <w:lang w:val="id-ID"/>
        </w:rPr>
        <w:t xml:space="preserve"> </w:t>
      </w:r>
      <w:proofErr w:type="spellStart"/>
      <w:r w:rsidRPr="00C138DE">
        <w:rPr>
          <w:rFonts w:eastAsia="Times New Roman" w:cs="Times New Roman"/>
          <w:lang w:val="id-ID"/>
        </w:rPr>
        <w:t>and</w:t>
      </w:r>
      <w:proofErr w:type="spellEnd"/>
      <w:r w:rsidRPr="00C138DE">
        <w:rPr>
          <w:rFonts w:eastAsia="Times New Roman" w:cs="Times New Roman"/>
          <w:lang w:val="id-ID"/>
        </w:rPr>
        <w:t xml:space="preserve"> CF are </w:t>
      </w:r>
      <w:proofErr w:type="spellStart"/>
      <w:r w:rsidRPr="00C138DE">
        <w:rPr>
          <w:rFonts w:eastAsia="Times New Roman" w:cs="Times New Roman"/>
          <w:lang w:val="id-ID"/>
        </w:rPr>
        <w:t>coupled</w:t>
      </w:r>
      <w:proofErr w:type="spellEnd"/>
      <w:r w:rsidRPr="00C138DE">
        <w:rPr>
          <w:rFonts w:eastAsia="Times New Roman" w:cs="Times New Roman"/>
          <w:lang w:val="id-ID"/>
        </w:rPr>
        <w:t xml:space="preserve"> </w:t>
      </w:r>
      <w:proofErr w:type="spellStart"/>
      <w:r w:rsidRPr="00C138DE">
        <w:rPr>
          <w:rFonts w:eastAsia="Times New Roman" w:cs="Times New Roman"/>
          <w:lang w:val="id-ID"/>
        </w:rPr>
        <w:t>within</w:t>
      </w:r>
      <w:proofErr w:type="spellEnd"/>
      <w:r w:rsidRPr="00C138DE">
        <w:rPr>
          <w:rFonts w:eastAsia="Times New Roman" w:cs="Times New Roman"/>
          <w:lang w:val="id-ID"/>
        </w:rPr>
        <w:t xml:space="preserve"> a </w:t>
      </w:r>
      <w:proofErr w:type="spellStart"/>
      <w:r w:rsidRPr="00C138DE">
        <w:rPr>
          <w:rFonts w:eastAsia="Times New Roman" w:cs="Times New Roman"/>
          <w:lang w:val="id-ID"/>
        </w:rPr>
        <w:t>primary</w:t>
      </w:r>
      <w:proofErr w:type="spellEnd"/>
      <w:r w:rsidRPr="00C138DE">
        <w:rPr>
          <w:rFonts w:eastAsia="Times New Roman" w:cs="Times New Roman"/>
          <w:lang w:val="id-ID"/>
        </w:rPr>
        <w:t xml:space="preserve"> </w:t>
      </w:r>
      <w:proofErr w:type="spellStart"/>
      <w:r w:rsidRPr="00C138DE">
        <w:rPr>
          <w:rFonts w:eastAsia="Times New Roman" w:cs="Times New Roman"/>
          <w:lang w:val="id-ID"/>
        </w:rPr>
        <w:t>care</w:t>
      </w:r>
      <w:proofErr w:type="spellEnd"/>
      <w:r w:rsidRPr="00C138DE">
        <w:rPr>
          <w:rFonts w:eastAsia="Times New Roman" w:cs="Times New Roman"/>
          <w:lang w:val="id-ID"/>
        </w:rPr>
        <w:t xml:space="preserve"> </w:t>
      </w:r>
      <w:proofErr w:type="spellStart"/>
      <w:r w:rsidRPr="00C138DE">
        <w:rPr>
          <w:rFonts w:eastAsia="Times New Roman" w:cs="Times New Roman"/>
          <w:lang w:val="id-ID"/>
        </w:rPr>
        <w:t>cohort</w:t>
      </w:r>
      <w:proofErr w:type="spellEnd"/>
      <w:r w:rsidRPr="00C138DE">
        <w:rPr>
          <w:rFonts w:eastAsia="Times New Roman" w:cs="Times New Roman"/>
          <w:lang w:val="id-ID"/>
        </w:rPr>
        <w:t xml:space="preserve"> </w:t>
      </w:r>
      <w:proofErr w:type="spellStart"/>
      <w:r w:rsidRPr="00C138DE">
        <w:rPr>
          <w:rFonts w:eastAsia="Times New Roman" w:cs="Times New Roman"/>
          <w:lang w:val="id-ID"/>
        </w:rPr>
        <w:t>directly</w:t>
      </w:r>
      <w:proofErr w:type="spellEnd"/>
      <w:r w:rsidRPr="00C138DE">
        <w:rPr>
          <w:rFonts w:eastAsia="Times New Roman" w:cs="Times New Roman"/>
          <w:lang w:val="id-ID"/>
        </w:rPr>
        <w:t xml:space="preserve"> </w:t>
      </w:r>
      <w:proofErr w:type="spellStart"/>
      <w:r w:rsidRPr="00C138DE">
        <w:rPr>
          <w:rFonts w:eastAsia="Times New Roman" w:cs="Times New Roman"/>
          <w:lang w:val="id-ID"/>
        </w:rPr>
        <w:t>challenges</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longstanding</w:t>
      </w:r>
      <w:proofErr w:type="spellEnd"/>
      <w:r w:rsidRPr="00C138DE">
        <w:rPr>
          <w:rFonts w:eastAsia="Times New Roman" w:cs="Times New Roman"/>
          <w:lang w:val="id-ID"/>
        </w:rPr>
        <w:t xml:space="preserve"> </w:t>
      </w:r>
      <w:proofErr w:type="spellStart"/>
      <w:r w:rsidRPr="00C138DE">
        <w:rPr>
          <w:rFonts w:eastAsia="Times New Roman" w:cs="Times New Roman"/>
          <w:lang w:val="id-ID"/>
        </w:rPr>
        <w:t>assumption</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that</w:t>
      </w:r>
      <w:proofErr w:type="spellEnd"/>
      <w:r w:rsidRPr="00C138DE">
        <w:rPr>
          <w:rFonts w:eastAsia="Times New Roman" w:cs="Times New Roman"/>
          <w:lang w:val="id-ID"/>
        </w:rPr>
        <w:t xml:space="preserve"> CF </w:t>
      </w:r>
      <w:proofErr w:type="spellStart"/>
      <w:r w:rsidRPr="00C138DE">
        <w:rPr>
          <w:rFonts w:eastAsia="Times New Roman" w:cs="Times New Roman"/>
          <w:lang w:val="id-ID"/>
        </w:rPr>
        <w:t>is</w:t>
      </w:r>
      <w:proofErr w:type="spellEnd"/>
      <w:r w:rsidRPr="00C138DE">
        <w:rPr>
          <w:rFonts w:eastAsia="Times New Roman" w:cs="Times New Roman"/>
          <w:lang w:val="id-ID"/>
        </w:rPr>
        <w:t xml:space="preserve"> </w:t>
      </w:r>
      <w:proofErr w:type="spellStart"/>
      <w:r w:rsidRPr="00C138DE">
        <w:rPr>
          <w:rFonts w:eastAsia="Times New Roman" w:cs="Times New Roman"/>
          <w:lang w:val="id-ID"/>
        </w:rPr>
        <w:t>an</w:t>
      </w:r>
      <w:proofErr w:type="spellEnd"/>
      <w:r w:rsidRPr="00C138DE">
        <w:rPr>
          <w:rFonts w:eastAsia="Times New Roman" w:cs="Times New Roman"/>
          <w:lang w:val="id-ID"/>
        </w:rPr>
        <w:t xml:space="preserve"> </w:t>
      </w:r>
      <w:proofErr w:type="spellStart"/>
      <w:r w:rsidRPr="00C138DE">
        <w:rPr>
          <w:rFonts w:eastAsia="Times New Roman" w:cs="Times New Roman"/>
          <w:lang w:val="id-ID"/>
        </w:rPr>
        <w:t>ailment</w:t>
      </w:r>
      <w:proofErr w:type="spellEnd"/>
      <w:r w:rsidRPr="00C138DE">
        <w:rPr>
          <w:rFonts w:eastAsia="Times New Roman" w:cs="Times New Roman"/>
          <w:lang w:val="id-ID"/>
        </w:rPr>
        <w:t xml:space="preserve"> </w:t>
      </w:r>
      <w:proofErr w:type="spellStart"/>
      <w:r w:rsidRPr="00C138DE">
        <w:rPr>
          <w:rFonts w:eastAsia="Times New Roman" w:cs="Times New Roman"/>
          <w:lang w:val="id-ID"/>
        </w:rPr>
        <w:t>exclusive</w:t>
      </w:r>
      <w:proofErr w:type="spellEnd"/>
      <w:r w:rsidRPr="00C138DE">
        <w:rPr>
          <w:rFonts w:eastAsia="Times New Roman" w:cs="Times New Roman"/>
          <w:lang w:val="id-ID"/>
        </w:rPr>
        <w:t xml:space="preserve"> </w:t>
      </w:r>
      <w:proofErr w:type="spellStart"/>
      <w:r w:rsidRPr="00C138DE">
        <w:rPr>
          <w:rFonts w:eastAsia="Times New Roman" w:cs="Times New Roman"/>
          <w:lang w:val="id-ID"/>
        </w:rPr>
        <w:t>to</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oldest</w:t>
      </w:r>
      <w:proofErr w:type="spellEnd"/>
      <w:r w:rsidRPr="00C138DE">
        <w:rPr>
          <w:rFonts w:eastAsia="Times New Roman" w:cs="Times New Roman"/>
          <w:lang w:val="id-ID"/>
        </w:rPr>
        <w:t xml:space="preserve"> </w:t>
      </w:r>
      <w:proofErr w:type="spellStart"/>
      <w:r w:rsidRPr="00C138DE">
        <w:rPr>
          <w:rFonts w:eastAsia="Times New Roman" w:cs="Times New Roman"/>
          <w:lang w:val="id-ID"/>
        </w:rPr>
        <w:t>and</w:t>
      </w:r>
      <w:proofErr w:type="spellEnd"/>
      <w:r w:rsidRPr="00C138DE">
        <w:rPr>
          <w:rFonts w:eastAsia="Times New Roman" w:cs="Times New Roman"/>
          <w:lang w:val="id-ID"/>
        </w:rPr>
        <w:t xml:space="preserve"> </w:t>
      </w:r>
      <w:proofErr w:type="spellStart"/>
      <w:r w:rsidRPr="00C138DE">
        <w:rPr>
          <w:rFonts w:eastAsia="Times New Roman" w:cs="Times New Roman"/>
          <w:lang w:val="id-ID"/>
        </w:rPr>
        <w:t>most</w:t>
      </w:r>
      <w:proofErr w:type="spellEnd"/>
      <w:r w:rsidRPr="00C138DE">
        <w:rPr>
          <w:rFonts w:eastAsia="Times New Roman" w:cs="Times New Roman"/>
          <w:lang w:val="id-ID"/>
        </w:rPr>
        <w:t xml:space="preserve"> </w:t>
      </w:r>
      <w:proofErr w:type="spellStart"/>
      <w:r w:rsidRPr="00C138DE">
        <w:rPr>
          <w:rFonts w:eastAsia="Times New Roman" w:cs="Times New Roman"/>
          <w:lang w:val="id-ID"/>
        </w:rPr>
        <w:t>debilitated</w:t>
      </w:r>
      <w:proofErr w:type="spellEnd"/>
      <w:r w:rsidRPr="00C138DE">
        <w:rPr>
          <w:rFonts w:eastAsia="Times New Roman" w:cs="Times New Roman"/>
          <w:lang w:val="id-ID"/>
        </w:rPr>
        <w:t xml:space="preserve"> </w:t>
      </w:r>
      <w:proofErr w:type="spellStart"/>
      <w:r w:rsidRPr="00C138DE">
        <w:rPr>
          <w:rFonts w:eastAsia="Times New Roman" w:cs="Times New Roman"/>
          <w:lang w:val="id-ID"/>
        </w:rPr>
        <w:t>segments</w:t>
      </w:r>
      <w:proofErr w:type="spellEnd"/>
      <w:r w:rsidRPr="00C138DE">
        <w:rPr>
          <w:rFonts w:eastAsia="Times New Roman" w:cs="Times New Roman"/>
          <w:lang w:val="id-ID"/>
        </w:rPr>
        <w:t xml:space="preserve"> </w:t>
      </w:r>
      <w:proofErr w:type="spellStart"/>
      <w:r w:rsidRPr="00C138DE">
        <w:rPr>
          <w:rFonts w:eastAsia="Times New Roman" w:cs="Times New Roman"/>
          <w:lang w:val="id-ID"/>
        </w:rPr>
        <w:t>of</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population</w:t>
      </w:r>
      <w:proofErr w:type="spellEnd"/>
      <w:r w:rsidRPr="00C138DE">
        <w:rPr>
          <w:rFonts w:eastAsia="Times New Roman" w:cs="Times New Roman"/>
          <w:lang w:val="id-ID"/>
        </w:rPr>
        <w:t xml:space="preserve">. </w:t>
      </w:r>
      <w:proofErr w:type="spellStart"/>
      <w:r w:rsidRPr="00C138DE">
        <w:rPr>
          <w:rFonts w:eastAsia="Times New Roman" w:cs="Times New Roman"/>
          <w:lang w:val="id-ID"/>
        </w:rPr>
        <w:t>Rather</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current</w:t>
      </w:r>
      <w:proofErr w:type="spellEnd"/>
      <w:r w:rsidRPr="00C138DE">
        <w:rPr>
          <w:rFonts w:eastAsia="Times New Roman" w:cs="Times New Roman"/>
          <w:lang w:val="id-ID"/>
        </w:rPr>
        <w:t xml:space="preserve"> </w:t>
      </w:r>
      <w:proofErr w:type="spellStart"/>
      <w:r w:rsidRPr="00C138DE">
        <w:rPr>
          <w:rFonts w:eastAsia="Times New Roman" w:cs="Times New Roman"/>
          <w:lang w:val="id-ID"/>
        </w:rPr>
        <w:t>dataset</w:t>
      </w:r>
      <w:proofErr w:type="spellEnd"/>
      <w:r w:rsidRPr="00C138DE">
        <w:rPr>
          <w:rFonts w:eastAsia="Times New Roman" w:cs="Times New Roman"/>
          <w:lang w:val="id-ID"/>
        </w:rPr>
        <w:t xml:space="preserve"> </w:t>
      </w:r>
      <w:proofErr w:type="spellStart"/>
      <w:r w:rsidRPr="00C138DE">
        <w:rPr>
          <w:rFonts w:eastAsia="Times New Roman" w:cs="Times New Roman"/>
          <w:lang w:val="id-ID"/>
        </w:rPr>
        <w:t>indicates</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that</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inflammatory</w:t>
      </w:r>
      <w:proofErr w:type="spellEnd"/>
      <w:r w:rsidRPr="00C138DE">
        <w:rPr>
          <w:rFonts w:eastAsia="Times New Roman" w:cs="Times New Roman"/>
          <w:lang w:val="id-ID"/>
        </w:rPr>
        <w:t xml:space="preserve"> </w:t>
      </w:r>
      <w:proofErr w:type="spellStart"/>
      <w:r w:rsidRPr="00C138DE">
        <w:rPr>
          <w:rFonts w:eastAsia="Times New Roman" w:cs="Times New Roman"/>
          <w:lang w:val="id-ID"/>
        </w:rPr>
        <w:t>and</w:t>
      </w:r>
      <w:proofErr w:type="spellEnd"/>
      <w:r w:rsidRPr="00C138DE">
        <w:rPr>
          <w:rFonts w:eastAsia="Times New Roman" w:cs="Times New Roman"/>
          <w:lang w:val="id-ID"/>
        </w:rPr>
        <w:t xml:space="preserve"> </w:t>
      </w:r>
      <w:proofErr w:type="spellStart"/>
      <w:r w:rsidRPr="00C138DE">
        <w:rPr>
          <w:rFonts w:eastAsia="Times New Roman" w:cs="Times New Roman"/>
          <w:lang w:val="id-ID"/>
        </w:rPr>
        <w:t>metabolic</w:t>
      </w:r>
      <w:proofErr w:type="spellEnd"/>
      <w:r w:rsidRPr="00C138DE">
        <w:rPr>
          <w:rFonts w:eastAsia="Times New Roman" w:cs="Times New Roman"/>
          <w:lang w:val="id-ID"/>
        </w:rPr>
        <w:t xml:space="preserve"> </w:t>
      </w:r>
      <w:proofErr w:type="spellStart"/>
      <w:r w:rsidRPr="00C138DE">
        <w:rPr>
          <w:rFonts w:eastAsia="Times New Roman" w:cs="Times New Roman"/>
          <w:lang w:val="id-ID"/>
        </w:rPr>
        <w:t>perturbations</w:t>
      </w:r>
      <w:proofErr w:type="spellEnd"/>
      <w:r w:rsidRPr="00C138DE">
        <w:rPr>
          <w:rFonts w:eastAsia="Times New Roman" w:cs="Times New Roman"/>
          <w:lang w:val="id-ID"/>
        </w:rPr>
        <w:t xml:space="preserve"> </w:t>
      </w:r>
      <w:proofErr w:type="spellStart"/>
      <w:r w:rsidRPr="00C138DE">
        <w:rPr>
          <w:rFonts w:eastAsia="Times New Roman" w:cs="Times New Roman"/>
          <w:lang w:val="id-ID"/>
        </w:rPr>
        <w:t>orchestrated</w:t>
      </w:r>
      <w:proofErr w:type="spellEnd"/>
      <w:r w:rsidRPr="00C138DE">
        <w:rPr>
          <w:rFonts w:eastAsia="Times New Roman" w:cs="Times New Roman"/>
          <w:lang w:val="id-ID"/>
        </w:rPr>
        <w:t xml:space="preserve"> </w:t>
      </w:r>
      <w:proofErr w:type="spellStart"/>
      <w:r w:rsidRPr="00C138DE">
        <w:rPr>
          <w:rFonts w:eastAsia="Times New Roman" w:cs="Times New Roman"/>
          <w:lang w:val="id-ID"/>
        </w:rPr>
        <w:t>by</w:t>
      </w:r>
      <w:proofErr w:type="spellEnd"/>
      <w:r w:rsidRPr="00C138DE">
        <w:rPr>
          <w:rFonts w:eastAsia="Times New Roman" w:cs="Times New Roman"/>
          <w:lang w:val="id-ID"/>
        </w:rPr>
        <w:t xml:space="preserve"> diabetes are </w:t>
      </w:r>
      <w:proofErr w:type="spellStart"/>
      <w:r w:rsidRPr="00C138DE">
        <w:rPr>
          <w:rFonts w:eastAsia="Times New Roman" w:cs="Times New Roman"/>
          <w:lang w:val="id-ID"/>
        </w:rPr>
        <w:t>associated</w:t>
      </w:r>
      <w:proofErr w:type="spellEnd"/>
      <w:r w:rsidRPr="00C138DE">
        <w:rPr>
          <w:rFonts w:eastAsia="Times New Roman" w:cs="Times New Roman"/>
          <w:lang w:val="id-ID"/>
        </w:rPr>
        <w:t xml:space="preserve"> </w:t>
      </w:r>
      <w:proofErr w:type="spellStart"/>
      <w:r w:rsidRPr="00C138DE">
        <w:rPr>
          <w:rFonts w:eastAsia="Times New Roman" w:cs="Times New Roman"/>
          <w:lang w:val="id-ID"/>
        </w:rPr>
        <w:t>with</w:t>
      </w:r>
      <w:proofErr w:type="spellEnd"/>
      <w:r w:rsidRPr="00C138DE">
        <w:rPr>
          <w:rFonts w:eastAsia="Times New Roman" w:cs="Times New Roman"/>
          <w:lang w:val="id-ID"/>
        </w:rPr>
        <w:t xml:space="preserve"> </w:t>
      </w:r>
      <w:proofErr w:type="spellStart"/>
      <w:r w:rsidRPr="00C138DE">
        <w:rPr>
          <w:rFonts w:eastAsia="Times New Roman" w:cs="Times New Roman"/>
          <w:lang w:val="id-ID"/>
        </w:rPr>
        <w:t>accelerated</w:t>
      </w:r>
      <w:proofErr w:type="spellEnd"/>
      <w:r w:rsidRPr="00C138DE">
        <w:rPr>
          <w:rFonts w:eastAsia="Times New Roman" w:cs="Times New Roman"/>
          <w:lang w:val="id-ID"/>
        </w:rPr>
        <w:t xml:space="preserve"> </w:t>
      </w:r>
      <w:proofErr w:type="spellStart"/>
      <w:r w:rsidRPr="00C138DE">
        <w:rPr>
          <w:rFonts w:eastAsia="Times New Roman" w:cs="Times New Roman"/>
          <w:lang w:val="id-ID"/>
        </w:rPr>
        <w:t>biological</w:t>
      </w:r>
      <w:proofErr w:type="spellEnd"/>
      <w:r w:rsidRPr="00C138DE">
        <w:rPr>
          <w:rFonts w:eastAsia="Times New Roman" w:cs="Times New Roman"/>
          <w:lang w:val="id-ID"/>
        </w:rPr>
        <w:t xml:space="preserve"> </w:t>
      </w:r>
      <w:proofErr w:type="spellStart"/>
      <w:r w:rsidRPr="00C138DE">
        <w:rPr>
          <w:rFonts w:eastAsia="Times New Roman" w:cs="Times New Roman"/>
          <w:lang w:val="id-ID"/>
        </w:rPr>
        <w:t>senescence</w:t>
      </w:r>
      <w:proofErr w:type="spellEnd"/>
      <w:r w:rsidRPr="00C138DE">
        <w:rPr>
          <w:rFonts w:eastAsia="Times New Roman" w:cs="Times New Roman"/>
          <w:lang w:val="id-ID"/>
        </w:rPr>
        <w:t xml:space="preserve"> </w:t>
      </w:r>
      <w:proofErr w:type="spellStart"/>
      <w:r w:rsidRPr="00C138DE">
        <w:rPr>
          <w:rFonts w:eastAsia="Times New Roman" w:cs="Times New Roman"/>
          <w:lang w:val="id-ID"/>
        </w:rPr>
        <w:t>and</w:t>
      </w:r>
      <w:proofErr w:type="spellEnd"/>
      <w:r w:rsidRPr="00C138DE">
        <w:rPr>
          <w:rFonts w:eastAsia="Times New Roman" w:cs="Times New Roman"/>
          <w:lang w:val="id-ID"/>
        </w:rPr>
        <w:t xml:space="preserve"> a </w:t>
      </w:r>
      <w:proofErr w:type="spellStart"/>
      <w:r w:rsidRPr="00C138DE">
        <w:rPr>
          <w:rFonts w:eastAsia="Times New Roman" w:cs="Times New Roman"/>
          <w:lang w:val="id-ID"/>
        </w:rPr>
        <w:t>measurably</w:t>
      </w:r>
      <w:proofErr w:type="spellEnd"/>
      <w:r w:rsidRPr="00C138DE">
        <w:rPr>
          <w:rFonts w:eastAsia="Times New Roman" w:cs="Times New Roman"/>
          <w:lang w:val="id-ID"/>
        </w:rPr>
        <w:t xml:space="preserve"> </w:t>
      </w:r>
      <w:proofErr w:type="spellStart"/>
      <w:r w:rsidRPr="00C138DE">
        <w:rPr>
          <w:rFonts w:eastAsia="Times New Roman" w:cs="Times New Roman"/>
          <w:lang w:val="id-ID"/>
        </w:rPr>
        <w:t>heightened</w:t>
      </w:r>
      <w:proofErr w:type="spellEnd"/>
      <w:r w:rsidRPr="00C138DE">
        <w:rPr>
          <w:rFonts w:eastAsia="Times New Roman" w:cs="Times New Roman"/>
          <w:lang w:val="id-ID"/>
        </w:rPr>
        <w:t xml:space="preserve"> CF </w:t>
      </w:r>
      <w:proofErr w:type="spellStart"/>
      <w:r w:rsidRPr="00C138DE">
        <w:rPr>
          <w:rFonts w:eastAsia="Times New Roman" w:cs="Times New Roman"/>
          <w:lang w:val="id-ID"/>
        </w:rPr>
        <w:t>risk</w:t>
      </w:r>
      <w:proofErr w:type="spellEnd"/>
      <w:r w:rsidRPr="00C138DE">
        <w:rPr>
          <w:rFonts w:eastAsia="Times New Roman" w:cs="Times New Roman"/>
          <w:lang w:val="id-ID"/>
        </w:rPr>
        <w:t xml:space="preserve"> </w:t>
      </w:r>
      <w:proofErr w:type="spellStart"/>
      <w:r w:rsidRPr="00C138DE">
        <w:rPr>
          <w:rFonts w:eastAsia="Times New Roman" w:cs="Times New Roman"/>
          <w:lang w:val="id-ID"/>
        </w:rPr>
        <w:t>even</w:t>
      </w:r>
      <w:proofErr w:type="spellEnd"/>
      <w:r w:rsidRPr="00C138DE">
        <w:rPr>
          <w:rFonts w:eastAsia="Times New Roman" w:cs="Times New Roman"/>
          <w:lang w:val="id-ID"/>
        </w:rPr>
        <w:t xml:space="preserve"> </w:t>
      </w:r>
      <w:proofErr w:type="spellStart"/>
      <w:r w:rsidRPr="00C138DE">
        <w:rPr>
          <w:rFonts w:eastAsia="Times New Roman" w:cs="Times New Roman"/>
          <w:lang w:val="id-ID"/>
        </w:rPr>
        <w:t>among</w:t>
      </w:r>
      <w:proofErr w:type="spellEnd"/>
      <w:r w:rsidRPr="00C138DE">
        <w:rPr>
          <w:rFonts w:eastAsia="Times New Roman" w:cs="Times New Roman"/>
          <w:lang w:val="id-ID"/>
        </w:rPr>
        <w:t xml:space="preserve"> </w:t>
      </w:r>
      <w:proofErr w:type="spellStart"/>
      <w:r w:rsidRPr="00C138DE">
        <w:rPr>
          <w:rFonts w:eastAsia="Times New Roman" w:cs="Times New Roman"/>
          <w:lang w:val="id-ID"/>
        </w:rPr>
        <w:t>individuals</w:t>
      </w:r>
      <w:proofErr w:type="spellEnd"/>
      <w:r w:rsidRPr="00C138DE">
        <w:rPr>
          <w:rFonts w:eastAsia="Times New Roman" w:cs="Times New Roman"/>
          <w:lang w:val="id-ID"/>
        </w:rPr>
        <w:t xml:space="preserve"> </w:t>
      </w:r>
      <w:proofErr w:type="spellStart"/>
      <w:r w:rsidRPr="00C138DE">
        <w:rPr>
          <w:rFonts w:eastAsia="Times New Roman" w:cs="Times New Roman"/>
          <w:lang w:val="id-ID"/>
        </w:rPr>
        <w:t>who</w:t>
      </w:r>
      <w:proofErr w:type="spellEnd"/>
      <w:r w:rsidRPr="00C138DE">
        <w:rPr>
          <w:rFonts w:eastAsia="Times New Roman" w:cs="Times New Roman"/>
          <w:lang w:val="id-ID"/>
        </w:rPr>
        <w:t xml:space="preserve"> </w:t>
      </w:r>
      <w:proofErr w:type="spellStart"/>
      <w:r w:rsidRPr="00C138DE">
        <w:rPr>
          <w:rFonts w:eastAsia="Times New Roman" w:cs="Times New Roman"/>
          <w:lang w:val="id-ID"/>
        </w:rPr>
        <w:t>have</w:t>
      </w:r>
      <w:proofErr w:type="spellEnd"/>
      <w:r w:rsidRPr="00C138DE">
        <w:rPr>
          <w:rFonts w:eastAsia="Times New Roman" w:cs="Times New Roman"/>
          <w:lang w:val="id-ID"/>
        </w:rPr>
        <w:t xml:space="preserve"> not </w:t>
      </w:r>
      <w:proofErr w:type="spellStart"/>
      <w:r w:rsidRPr="00C138DE">
        <w:rPr>
          <w:rFonts w:eastAsia="Times New Roman" w:cs="Times New Roman"/>
          <w:lang w:val="id-ID"/>
        </w:rPr>
        <w:t>yet</w:t>
      </w:r>
      <w:proofErr w:type="spellEnd"/>
      <w:r w:rsidRPr="00C138DE">
        <w:rPr>
          <w:rFonts w:eastAsia="Times New Roman" w:cs="Times New Roman"/>
          <w:lang w:val="id-ID"/>
        </w:rPr>
        <w:t xml:space="preserve"> </w:t>
      </w:r>
      <w:proofErr w:type="spellStart"/>
      <w:r w:rsidRPr="00C138DE">
        <w:rPr>
          <w:rFonts w:eastAsia="Times New Roman" w:cs="Times New Roman"/>
          <w:lang w:val="id-ID"/>
        </w:rPr>
        <w:t>reached</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their</w:t>
      </w:r>
      <w:proofErr w:type="spellEnd"/>
      <w:r w:rsidRPr="00C138DE">
        <w:rPr>
          <w:rFonts w:eastAsia="Times New Roman" w:cs="Times New Roman"/>
          <w:lang w:val="id-ID"/>
        </w:rPr>
        <w:t xml:space="preserve"> </w:t>
      </w:r>
      <w:proofErr w:type="spellStart"/>
      <w:r w:rsidRPr="00C138DE">
        <w:rPr>
          <w:rFonts w:eastAsia="Times New Roman" w:cs="Times New Roman"/>
          <w:lang w:val="id-ID"/>
        </w:rPr>
        <w:t>sixth</w:t>
      </w:r>
      <w:proofErr w:type="spellEnd"/>
      <w:r w:rsidRPr="00C138DE">
        <w:rPr>
          <w:rFonts w:eastAsia="Times New Roman" w:cs="Times New Roman"/>
          <w:lang w:val="id-ID"/>
        </w:rPr>
        <w:t xml:space="preserve"> </w:t>
      </w:r>
      <w:proofErr w:type="spellStart"/>
      <w:r w:rsidRPr="00C138DE">
        <w:rPr>
          <w:rFonts w:eastAsia="Times New Roman" w:cs="Times New Roman"/>
          <w:lang w:val="id-ID"/>
        </w:rPr>
        <w:t>decade</w:t>
      </w:r>
      <w:proofErr w:type="spellEnd"/>
      <w:r w:rsidRPr="00C138DE">
        <w:rPr>
          <w:rFonts w:eastAsia="Times New Roman" w:cs="Times New Roman"/>
          <w:lang w:val="id-ID"/>
        </w:rPr>
        <w:t xml:space="preserve">, a </w:t>
      </w:r>
      <w:proofErr w:type="spellStart"/>
      <w:r w:rsidRPr="00C138DE">
        <w:rPr>
          <w:rFonts w:eastAsia="Times New Roman" w:cs="Times New Roman"/>
          <w:lang w:val="id-ID"/>
        </w:rPr>
        <w:t>pattern</w:t>
      </w:r>
      <w:proofErr w:type="spellEnd"/>
      <w:r w:rsidRPr="00C138DE">
        <w:rPr>
          <w:rFonts w:eastAsia="Times New Roman" w:cs="Times New Roman"/>
          <w:lang w:val="id-ID"/>
        </w:rPr>
        <w:t xml:space="preserve"> </w:t>
      </w:r>
      <w:proofErr w:type="spellStart"/>
      <w:r w:rsidRPr="00C138DE">
        <w:rPr>
          <w:rFonts w:eastAsia="Times New Roman" w:cs="Times New Roman"/>
          <w:lang w:val="id-ID"/>
        </w:rPr>
        <w:t>more</w:t>
      </w:r>
      <w:proofErr w:type="spellEnd"/>
      <w:r w:rsidRPr="00C138DE">
        <w:rPr>
          <w:rFonts w:eastAsia="Times New Roman" w:cs="Times New Roman"/>
          <w:lang w:val="id-ID"/>
        </w:rPr>
        <w:t xml:space="preserve"> </w:t>
      </w:r>
      <w:proofErr w:type="spellStart"/>
      <w:r w:rsidRPr="00C138DE">
        <w:rPr>
          <w:rFonts w:eastAsia="Times New Roman" w:cs="Times New Roman"/>
          <w:lang w:val="id-ID"/>
        </w:rPr>
        <w:t>consistent</w:t>
      </w:r>
      <w:proofErr w:type="spellEnd"/>
      <w:r w:rsidRPr="00C138DE">
        <w:rPr>
          <w:rFonts w:eastAsia="Times New Roman" w:cs="Times New Roman"/>
          <w:lang w:val="id-ID"/>
        </w:rPr>
        <w:t xml:space="preserve"> </w:t>
      </w:r>
      <w:proofErr w:type="spellStart"/>
      <w:r w:rsidRPr="00C138DE">
        <w:rPr>
          <w:rFonts w:eastAsia="Times New Roman" w:cs="Times New Roman"/>
          <w:lang w:val="id-ID"/>
        </w:rPr>
        <w:t>with</w:t>
      </w:r>
      <w:proofErr w:type="spellEnd"/>
      <w:r w:rsidRPr="00C138DE">
        <w:rPr>
          <w:rFonts w:eastAsia="Times New Roman" w:cs="Times New Roman"/>
          <w:lang w:val="id-ID"/>
        </w:rPr>
        <w:t xml:space="preserve"> </w:t>
      </w:r>
      <w:proofErr w:type="spellStart"/>
      <w:r w:rsidRPr="00C138DE">
        <w:rPr>
          <w:rFonts w:eastAsia="Times New Roman" w:cs="Times New Roman"/>
          <w:lang w:val="id-ID"/>
        </w:rPr>
        <w:t>disease-accelerated</w:t>
      </w:r>
      <w:proofErr w:type="spellEnd"/>
      <w:r w:rsidRPr="00C138DE">
        <w:rPr>
          <w:rFonts w:eastAsia="Times New Roman" w:cs="Times New Roman"/>
          <w:lang w:val="id-ID"/>
        </w:rPr>
        <w:t xml:space="preserve"> </w:t>
      </w:r>
      <w:proofErr w:type="spellStart"/>
      <w:r w:rsidRPr="00C138DE">
        <w:rPr>
          <w:rFonts w:eastAsia="Times New Roman" w:cs="Times New Roman"/>
          <w:lang w:val="id-ID"/>
        </w:rPr>
        <w:t>frailty</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than</w:t>
      </w:r>
      <w:proofErr w:type="spellEnd"/>
      <w:r w:rsidRPr="00C138DE">
        <w:rPr>
          <w:rFonts w:eastAsia="Times New Roman" w:cs="Times New Roman"/>
          <w:lang w:val="id-ID"/>
        </w:rPr>
        <w:t xml:space="preserve"> </w:t>
      </w:r>
      <w:proofErr w:type="spellStart"/>
      <w:r w:rsidRPr="00C138DE">
        <w:rPr>
          <w:rFonts w:eastAsia="Times New Roman" w:cs="Times New Roman"/>
          <w:lang w:val="id-ID"/>
        </w:rPr>
        <w:t>with</w:t>
      </w:r>
      <w:proofErr w:type="spellEnd"/>
      <w:r w:rsidRPr="00C138DE">
        <w:rPr>
          <w:rFonts w:eastAsia="Times New Roman" w:cs="Times New Roman"/>
          <w:lang w:val="id-ID"/>
        </w:rPr>
        <w:t xml:space="preserve"> </w:t>
      </w:r>
      <w:proofErr w:type="spellStart"/>
      <w:r w:rsidRPr="00C138DE">
        <w:rPr>
          <w:rFonts w:eastAsia="Times New Roman" w:cs="Times New Roman"/>
          <w:lang w:val="id-ID"/>
        </w:rPr>
        <w:t>ordinary</w:t>
      </w:r>
      <w:proofErr w:type="spellEnd"/>
      <w:r w:rsidRPr="00C138DE">
        <w:rPr>
          <w:rFonts w:eastAsia="Times New Roman" w:cs="Times New Roman"/>
          <w:lang w:val="id-ID"/>
        </w:rPr>
        <w:t xml:space="preserve"> </w:t>
      </w:r>
      <w:proofErr w:type="spellStart"/>
      <w:r w:rsidRPr="00C138DE">
        <w:rPr>
          <w:rFonts w:eastAsia="Times New Roman" w:cs="Times New Roman"/>
          <w:lang w:val="id-ID"/>
        </w:rPr>
        <w:t>chronological</w:t>
      </w:r>
      <w:proofErr w:type="spellEnd"/>
      <w:r w:rsidRPr="00C138DE">
        <w:rPr>
          <w:rFonts w:eastAsia="Times New Roman" w:cs="Times New Roman"/>
          <w:lang w:val="id-ID"/>
        </w:rPr>
        <w:t xml:space="preserve"> </w:t>
      </w:r>
      <w:proofErr w:type="spellStart"/>
      <w:r w:rsidRPr="00C138DE">
        <w:rPr>
          <w:rFonts w:eastAsia="Times New Roman" w:cs="Times New Roman"/>
          <w:lang w:val="id-ID"/>
        </w:rPr>
        <w:t>aging</w:t>
      </w:r>
      <w:proofErr w:type="spellEnd"/>
      <w:r w:rsidRPr="00C138DE">
        <w:rPr>
          <w:rFonts w:eastAsia="Times New Roman" w:cs="Times New Roman"/>
          <w:lang w:val="id-ID"/>
        </w:rPr>
        <w:t xml:space="preserve">. </w:t>
      </w:r>
      <w:proofErr w:type="spellStart"/>
      <w:r w:rsidRPr="00C138DE">
        <w:rPr>
          <w:rFonts w:eastAsia="Times New Roman" w:cs="Times New Roman"/>
          <w:lang w:val="id-ID"/>
        </w:rPr>
        <w:t>Concordant</w:t>
      </w:r>
      <w:proofErr w:type="spellEnd"/>
      <w:r w:rsidRPr="00C138DE">
        <w:rPr>
          <w:rFonts w:eastAsia="Times New Roman" w:cs="Times New Roman"/>
          <w:lang w:val="id-ID"/>
        </w:rPr>
        <w:t xml:space="preserve"> </w:t>
      </w:r>
      <w:proofErr w:type="spellStart"/>
      <w:r w:rsidRPr="00C138DE">
        <w:rPr>
          <w:rFonts w:eastAsia="Times New Roman" w:cs="Times New Roman"/>
          <w:lang w:val="id-ID"/>
        </w:rPr>
        <w:t>evidence</w:t>
      </w:r>
      <w:proofErr w:type="spellEnd"/>
      <w:r w:rsidRPr="00C138DE">
        <w:rPr>
          <w:rFonts w:eastAsia="Times New Roman" w:cs="Times New Roman"/>
          <w:lang w:val="id-ID"/>
        </w:rPr>
        <w:t xml:space="preserve"> </w:t>
      </w:r>
      <w:proofErr w:type="spellStart"/>
      <w:r w:rsidRPr="00C138DE">
        <w:rPr>
          <w:rFonts w:eastAsia="Times New Roman" w:cs="Times New Roman"/>
          <w:lang w:val="id-ID"/>
        </w:rPr>
        <w:t>comes</w:t>
      </w:r>
      <w:proofErr w:type="spellEnd"/>
      <w:r w:rsidRPr="00C138DE">
        <w:rPr>
          <w:rFonts w:eastAsia="Times New Roman" w:cs="Times New Roman"/>
          <w:lang w:val="id-ID"/>
        </w:rPr>
        <w:t xml:space="preserve"> </w:t>
      </w:r>
      <w:proofErr w:type="spellStart"/>
      <w:r w:rsidRPr="00C138DE">
        <w:rPr>
          <w:rFonts w:eastAsia="Times New Roman" w:cs="Times New Roman"/>
          <w:lang w:val="id-ID"/>
        </w:rPr>
        <w:t>from</w:t>
      </w:r>
      <w:proofErr w:type="spellEnd"/>
      <w:r w:rsidRPr="00C138DE">
        <w:rPr>
          <w:rFonts w:eastAsia="Times New Roman" w:cs="Times New Roman"/>
          <w:lang w:val="id-ID"/>
        </w:rPr>
        <w:t xml:space="preserve"> </w:t>
      </w:r>
      <w:proofErr w:type="spellStart"/>
      <w:r w:rsidRPr="00C138DE">
        <w:rPr>
          <w:rFonts w:eastAsia="Times New Roman" w:cs="Times New Roman"/>
          <w:lang w:val="id-ID"/>
        </w:rPr>
        <w:t>Cigolle</w:t>
      </w:r>
      <w:proofErr w:type="spellEnd"/>
      <w:r w:rsidR="005C1BB9" w:rsidRPr="00C138DE">
        <w:rPr>
          <w:rFonts w:eastAsia="Times New Roman" w:cs="Times New Roman"/>
          <w:lang w:val="id-ID"/>
        </w:rPr>
        <w:t xml:space="preserve"> </w:t>
      </w:r>
      <w:hyperlink w:anchor="Cigolle" w:history="1">
        <w:r w:rsidR="005C1BB9" w:rsidRPr="00C138DE">
          <w:rPr>
            <w:rStyle w:val="Hyperlink"/>
            <w:rFonts w:eastAsia="Times New Roman" w:cs="Times New Roman"/>
            <w:u w:val="none"/>
            <w:lang w:val="id-ID"/>
          </w:rPr>
          <w:fldChar w:fldCharType="begin" w:fldLock="1"/>
        </w:r>
        <w:r w:rsidR="005C1BB9" w:rsidRPr="00C138DE">
          <w:rPr>
            <w:rStyle w:val="Hyperlink"/>
            <w:rFonts w:eastAsia="Times New Roman" w:cs="Times New Roman"/>
            <w:u w:val="none"/>
            <w:lang w:val="id-ID"/>
          </w:rPr>
          <w:instrText>ADDIN CSL_CITATION {"citationItems":[{"id":"ITEM-1","itemData":{"ISSN":"0884-8734","author":[{"dropping-particle":"","family":"Cigolle","given":"Christine T","non-dropping-particle":"","parse-names":false,"suffix":""},{"dropping-particle":"","family":"Lee","given":"Pearl G","non-dropping-particle":"","parse-names":false,"suffix":""},{"dropping-particle":"","family":"Langa","given":"Kenneth M","non-dropping-particle":"","parse-names":false,"suffix":""},{"dropping-particle":"","family":"Lee","given":"Yuo-Yu","non-dropping-particle":"","parse-names":false,"suffix":""},{"dropping-particle":"","family":"Tian","given":"Zhiyi","non-dropping-particle":"","parse-names":false,"suffix":""},{"dropping-particle":"","family":"Blaum","given":"Caroline S","non-dropping-particle":"","parse-names":false,"suffix":""}],"container-title":"Journal of general internal medicine","id":"ITEM-1","issue":"3","issued":{"date-parts":[["2011"]]},"page":"272-279","publisher":"Springer","title":"Geriatric conditions develop in middle-aged adults with diabetes","type":"article-journal","volume":"26"},"label":"paragraph","suppress-author":1,"uris":["http://www.mendeley.com/documents/?uuid=66a1e9dd-7b47-4efd-9d1f-26fa9d1b2aed"]}],"mendeley":{"formattedCitation":"(2011)","plainTextFormattedCitation":"(2011)","previouslyFormattedCitation":"(2011)"},"properties":{"noteIndex":0},"schema":"https://github.com/citation-style-language/schema/raw/master/csl-citation.json"}</w:instrText>
        </w:r>
        <w:r w:rsidR="005C1BB9" w:rsidRPr="00C138DE">
          <w:rPr>
            <w:rStyle w:val="Hyperlink"/>
            <w:rFonts w:eastAsia="Times New Roman" w:cs="Times New Roman"/>
            <w:u w:val="none"/>
            <w:lang w:val="id-ID"/>
          </w:rPr>
          <w:fldChar w:fldCharType="separate"/>
        </w:r>
        <w:r w:rsidR="005C1BB9" w:rsidRPr="00C138DE">
          <w:rPr>
            <w:rStyle w:val="Hyperlink"/>
            <w:rFonts w:eastAsia="Times New Roman" w:cs="Times New Roman"/>
            <w:noProof/>
            <w:u w:val="none"/>
            <w:lang w:val="id-ID"/>
          </w:rPr>
          <w:t>(2011)</w:t>
        </w:r>
        <w:r w:rsidR="005C1BB9" w:rsidRPr="00C138DE">
          <w:rPr>
            <w:rStyle w:val="Hyperlink"/>
            <w:rFonts w:eastAsia="Times New Roman" w:cs="Times New Roman"/>
            <w:u w:val="none"/>
            <w:lang w:val="id-ID"/>
          </w:rPr>
          <w:fldChar w:fldCharType="end"/>
        </w:r>
      </w:hyperlink>
      <w:r w:rsidRPr="00C138DE">
        <w:rPr>
          <w:rFonts w:eastAsia="Times New Roman" w:cs="Times New Roman"/>
          <w:lang w:val="id-ID"/>
        </w:rPr>
        <w:t xml:space="preserve">, </w:t>
      </w:r>
      <w:proofErr w:type="spellStart"/>
      <w:r w:rsidRPr="00C138DE">
        <w:rPr>
          <w:rFonts w:eastAsia="Times New Roman" w:cs="Times New Roman"/>
          <w:lang w:val="id-ID"/>
        </w:rPr>
        <w:t>who</w:t>
      </w:r>
      <w:proofErr w:type="spellEnd"/>
      <w:r w:rsidRPr="00C138DE">
        <w:rPr>
          <w:rFonts w:eastAsia="Times New Roman" w:cs="Times New Roman"/>
          <w:lang w:val="id-ID"/>
        </w:rPr>
        <w:t xml:space="preserve"> </w:t>
      </w:r>
      <w:proofErr w:type="spellStart"/>
      <w:r w:rsidRPr="00C138DE">
        <w:rPr>
          <w:rFonts w:eastAsia="Times New Roman" w:cs="Times New Roman"/>
          <w:lang w:val="id-ID"/>
        </w:rPr>
        <w:t>observed</w:t>
      </w:r>
      <w:proofErr w:type="spellEnd"/>
      <w:r w:rsidRPr="00C138DE">
        <w:rPr>
          <w:rFonts w:eastAsia="Times New Roman" w:cs="Times New Roman"/>
          <w:lang w:val="id-ID"/>
        </w:rPr>
        <w:t xml:space="preserve"> a 2.8% </w:t>
      </w:r>
      <w:proofErr w:type="spellStart"/>
      <w:r w:rsidRPr="00C138DE">
        <w:rPr>
          <w:rFonts w:eastAsia="Times New Roman" w:cs="Times New Roman"/>
          <w:lang w:val="id-ID"/>
        </w:rPr>
        <w:t>rate</w:t>
      </w:r>
      <w:proofErr w:type="spellEnd"/>
      <w:r w:rsidRPr="00C138DE">
        <w:rPr>
          <w:rFonts w:eastAsia="Times New Roman" w:cs="Times New Roman"/>
          <w:lang w:val="id-ID"/>
        </w:rPr>
        <w:t xml:space="preserve"> </w:t>
      </w:r>
      <w:proofErr w:type="spellStart"/>
      <w:r w:rsidRPr="00C138DE">
        <w:rPr>
          <w:rFonts w:eastAsia="Times New Roman" w:cs="Times New Roman"/>
          <w:lang w:val="id-ID"/>
        </w:rPr>
        <w:t>of</w:t>
      </w:r>
      <w:proofErr w:type="spellEnd"/>
      <w:r w:rsidRPr="00C138DE">
        <w:rPr>
          <w:rFonts w:eastAsia="Times New Roman" w:cs="Times New Roman"/>
          <w:lang w:val="id-ID"/>
        </w:rPr>
        <w:t xml:space="preserve"> </w:t>
      </w:r>
      <w:proofErr w:type="spellStart"/>
      <w:r w:rsidRPr="00C138DE">
        <w:rPr>
          <w:rFonts w:eastAsia="Times New Roman" w:cs="Times New Roman"/>
          <w:lang w:val="id-ID"/>
        </w:rPr>
        <w:t>cognitive</w:t>
      </w:r>
      <w:proofErr w:type="spellEnd"/>
      <w:r w:rsidRPr="00C138DE">
        <w:rPr>
          <w:rFonts w:eastAsia="Times New Roman" w:cs="Times New Roman"/>
          <w:lang w:val="id-ID"/>
        </w:rPr>
        <w:t xml:space="preserve"> </w:t>
      </w:r>
      <w:proofErr w:type="spellStart"/>
      <w:r w:rsidRPr="00C138DE">
        <w:rPr>
          <w:rFonts w:eastAsia="Times New Roman" w:cs="Times New Roman"/>
          <w:lang w:val="id-ID"/>
        </w:rPr>
        <w:t>impairment</w:t>
      </w:r>
      <w:proofErr w:type="spellEnd"/>
      <w:r w:rsidRPr="00C138DE">
        <w:rPr>
          <w:rFonts w:eastAsia="Times New Roman" w:cs="Times New Roman"/>
          <w:lang w:val="id-ID"/>
        </w:rPr>
        <w:t xml:space="preserve"> in </w:t>
      </w:r>
      <w:proofErr w:type="spellStart"/>
      <w:r w:rsidRPr="00C138DE">
        <w:rPr>
          <w:rFonts w:eastAsia="Times New Roman" w:cs="Times New Roman"/>
          <w:lang w:val="id-ID"/>
        </w:rPr>
        <w:t>diabetic</w:t>
      </w:r>
      <w:proofErr w:type="spellEnd"/>
      <w:r w:rsidRPr="00C138DE">
        <w:rPr>
          <w:rFonts w:eastAsia="Times New Roman" w:cs="Times New Roman"/>
          <w:lang w:val="id-ID"/>
        </w:rPr>
        <w:t xml:space="preserve"> </w:t>
      </w:r>
      <w:proofErr w:type="spellStart"/>
      <w:r w:rsidRPr="00C138DE">
        <w:rPr>
          <w:rFonts w:eastAsia="Times New Roman" w:cs="Times New Roman"/>
          <w:lang w:val="id-ID"/>
        </w:rPr>
        <w:t>adults</w:t>
      </w:r>
      <w:proofErr w:type="spellEnd"/>
      <w:r w:rsidRPr="00C138DE">
        <w:rPr>
          <w:rFonts w:eastAsia="Times New Roman" w:cs="Times New Roman"/>
          <w:lang w:val="id-ID"/>
        </w:rPr>
        <w:t xml:space="preserve"> </w:t>
      </w:r>
      <w:proofErr w:type="spellStart"/>
      <w:r w:rsidRPr="00C138DE">
        <w:rPr>
          <w:rFonts w:eastAsia="Times New Roman" w:cs="Times New Roman"/>
          <w:lang w:val="id-ID"/>
        </w:rPr>
        <w:t>compared</w:t>
      </w:r>
      <w:proofErr w:type="spellEnd"/>
      <w:r w:rsidRPr="00C138DE">
        <w:rPr>
          <w:rFonts w:eastAsia="Times New Roman" w:cs="Times New Roman"/>
          <w:lang w:val="id-ID"/>
        </w:rPr>
        <w:t xml:space="preserve"> </w:t>
      </w:r>
      <w:proofErr w:type="spellStart"/>
      <w:r w:rsidRPr="00C138DE">
        <w:rPr>
          <w:rFonts w:eastAsia="Times New Roman" w:cs="Times New Roman"/>
          <w:lang w:val="id-ID"/>
        </w:rPr>
        <w:t>with</w:t>
      </w:r>
      <w:proofErr w:type="spellEnd"/>
      <w:r w:rsidRPr="00C138DE">
        <w:rPr>
          <w:rFonts w:eastAsia="Times New Roman" w:cs="Times New Roman"/>
          <w:lang w:val="id-ID"/>
        </w:rPr>
        <w:t xml:space="preserve"> </w:t>
      </w:r>
      <w:proofErr w:type="spellStart"/>
      <w:r w:rsidRPr="00C138DE">
        <w:rPr>
          <w:rFonts w:eastAsia="Times New Roman" w:cs="Times New Roman"/>
          <w:lang w:val="id-ID"/>
        </w:rPr>
        <w:t>just</w:t>
      </w:r>
      <w:proofErr w:type="spellEnd"/>
      <w:r w:rsidRPr="00C138DE">
        <w:rPr>
          <w:rFonts w:eastAsia="Times New Roman" w:cs="Times New Roman"/>
          <w:lang w:val="id-ID"/>
        </w:rPr>
        <w:t xml:space="preserve"> 1.1% in </w:t>
      </w:r>
      <w:proofErr w:type="spellStart"/>
      <w:r w:rsidRPr="00C138DE">
        <w:rPr>
          <w:rFonts w:eastAsia="Times New Roman" w:cs="Times New Roman"/>
          <w:lang w:val="id-ID"/>
        </w:rPr>
        <w:t>age-matched</w:t>
      </w:r>
      <w:proofErr w:type="spellEnd"/>
      <w:r w:rsidRPr="00C138DE">
        <w:rPr>
          <w:rFonts w:eastAsia="Times New Roman" w:cs="Times New Roman"/>
          <w:lang w:val="id-ID"/>
        </w:rPr>
        <w:t xml:space="preserve"> non-</w:t>
      </w:r>
      <w:proofErr w:type="spellStart"/>
      <w:r w:rsidRPr="00C138DE">
        <w:rPr>
          <w:rFonts w:eastAsia="Times New Roman" w:cs="Times New Roman"/>
          <w:lang w:val="id-ID"/>
        </w:rPr>
        <w:t>diabetic</w:t>
      </w:r>
      <w:proofErr w:type="spellEnd"/>
      <w:r w:rsidRPr="00C138DE">
        <w:rPr>
          <w:rFonts w:eastAsia="Times New Roman" w:cs="Times New Roman"/>
          <w:lang w:val="id-ID"/>
        </w:rPr>
        <w:t xml:space="preserve"> </w:t>
      </w:r>
      <w:proofErr w:type="spellStart"/>
      <w:r w:rsidRPr="00C138DE">
        <w:rPr>
          <w:rFonts w:eastAsia="Times New Roman" w:cs="Times New Roman"/>
          <w:lang w:val="id-ID"/>
        </w:rPr>
        <w:t>controls</w:t>
      </w:r>
      <w:proofErr w:type="spellEnd"/>
      <w:r w:rsidRPr="00C138DE">
        <w:rPr>
          <w:rFonts w:eastAsia="Times New Roman" w:cs="Times New Roman"/>
          <w:lang w:val="id-ID"/>
        </w:rPr>
        <w:t xml:space="preserve"> (p = 0.002), </w:t>
      </w:r>
      <w:proofErr w:type="spellStart"/>
      <w:r w:rsidRPr="00C138DE">
        <w:rPr>
          <w:rFonts w:eastAsia="Times New Roman" w:cs="Times New Roman"/>
          <w:lang w:val="id-ID"/>
        </w:rPr>
        <w:t>affirming</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that</w:t>
      </w:r>
      <w:proofErr w:type="spellEnd"/>
      <w:r w:rsidRPr="00C138DE">
        <w:rPr>
          <w:rFonts w:eastAsia="Times New Roman" w:cs="Times New Roman"/>
          <w:lang w:val="id-ID"/>
        </w:rPr>
        <w:t xml:space="preserve"> diabetes per </w:t>
      </w:r>
      <w:proofErr w:type="spellStart"/>
      <w:r w:rsidRPr="00C138DE">
        <w:rPr>
          <w:rFonts w:eastAsia="Times New Roman" w:cs="Times New Roman"/>
          <w:lang w:val="id-ID"/>
        </w:rPr>
        <w:t>se</w:t>
      </w:r>
      <w:proofErr w:type="spellEnd"/>
      <w:r w:rsidRPr="00C138DE">
        <w:rPr>
          <w:rFonts w:eastAsia="Times New Roman" w:cs="Times New Roman"/>
          <w:lang w:val="id-ID"/>
        </w:rPr>
        <w:t xml:space="preserve">, </w:t>
      </w:r>
      <w:proofErr w:type="spellStart"/>
      <w:r w:rsidRPr="00C138DE">
        <w:rPr>
          <w:rFonts w:eastAsia="Times New Roman" w:cs="Times New Roman"/>
          <w:lang w:val="id-ID"/>
        </w:rPr>
        <w:t>independent</w:t>
      </w:r>
      <w:proofErr w:type="spellEnd"/>
      <w:r w:rsidRPr="00C138DE">
        <w:rPr>
          <w:rFonts w:eastAsia="Times New Roman" w:cs="Times New Roman"/>
          <w:lang w:val="id-ID"/>
        </w:rPr>
        <w:t xml:space="preserve"> </w:t>
      </w:r>
      <w:proofErr w:type="spellStart"/>
      <w:r w:rsidRPr="00C138DE">
        <w:rPr>
          <w:rFonts w:eastAsia="Times New Roman" w:cs="Times New Roman"/>
          <w:lang w:val="id-ID"/>
        </w:rPr>
        <w:t>of</w:t>
      </w:r>
      <w:proofErr w:type="spellEnd"/>
      <w:r w:rsidRPr="00C138DE">
        <w:rPr>
          <w:rFonts w:eastAsia="Times New Roman" w:cs="Times New Roman"/>
          <w:lang w:val="id-ID"/>
        </w:rPr>
        <w:t xml:space="preserve"> </w:t>
      </w:r>
      <w:proofErr w:type="spellStart"/>
      <w:r w:rsidRPr="00C138DE">
        <w:rPr>
          <w:rFonts w:eastAsia="Times New Roman" w:cs="Times New Roman"/>
          <w:lang w:val="id-ID"/>
        </w:rPr>
        <w:t>calendar</w:t>
      </w:r>
      <w:proofErr w:type="spellEnd"/>
      <w:r w:rsidRPr="00C138DE">
        <w:rPr>
          <w:rFonts w:eastAsia="Times New Roman" w:cs="Times New Roman"/>
          <w:lang w:val="id-ID"/>
        </w:rPr>
        <w:t xml:space="preserve"> </w:t>
      </w:r>
      <w:proofErr w:type="spellStart"/>
      <w:r w:rsidRPr="00C138DE">
        <w:rPr>
          <w:rFonts w:eastAsia="Times New Roman" w:cs="Times New Roman"/>
          <w:lang w:val="id-ID"/>
        </w:rPr>
        <w:t>age</w:t>
      </w:r>
      <w:proofErr w:type="spellEnd"/>
      <w:r w:rsidRPr="00C138DE">
        <w:rPr>
          <w:rFonts w:eastAsia="Times New Roman" w:cs="Times New Roman"/>
          <w:lang w:val="id-ID"/>
        </w:rPr>
        <w:t xml:space="preserve">, </w:t>
      </w:r>
      <w:proofErr w:type="spellStart"/>
      <w:r w:rsidRPr="00C138DE">
        <w:rPr>
          <w:rFonts w:eastAsia="Times New Roman" w:cs="Times New Roman"/>
          <w:lang w:val="id-ID"/>
        </w:rPr>
        <w:t>amplifies</w:t>
      </w:r>
      <w:proofErr w:type="spellEnd"/>
      <w:r w:rsidRPr="00C138DE">
        <w:rPr>
          <w:rFonts w:eastAsia="Times New Roman" w:cs="Times New Roman"/>
          <w:lang w:val="id-ID"/>
        </w:rPr>
        <w:t xml:space="preserve"> </w:t>
      </w:r>
      <w:proofErr w:type="spellStart"/>
      <w:r w:rsidRPr="00C138DE">
        <w:rPr>
          <w:rFonts w:eastAsia="Times New Roman" w:cs="Times New Roman"/>
          <w:lang w:val="id-ID"/>
        </w:rPr>
        <w:t>neurocognitive</w:t>
      </w:r>
      <w:proofErr w:type="spellEnd"/>
      <w:r w:rsidRPr="00C138DE">
        <w:rPr>
          <w:rFonts w:eastAsia="Times New Roman" w:cs="Times New Roman"/>
          <w:lang w:val="id-ID"/>
        </w:rPr>
        <w:t xml:space="preserve"> </w:t>
      </w:r>
      <w:proofErr w:type="spellStart"/>
      <w:r w:rsidRPr="00C138DE">
        <w:rPr>
          <w:rFonts w:eastAsia="Times New Roman" w:cs="Times New Roman"/>
          <w:lang w:val="id-ID"/>
        </w:rPr>
        <w:t>vulnerability</w:t>
      </w:r>
      <w:proofErr w:type="spellEnd"/>
      <w:r w:rsidRPr="00C138DE">
        <w:rPr>
          <w:rFonts w:eastAsia="Times New Roman" w:cs="Times New Roman"/>
          <w:lang w:val="id-ID"/>
        </w:rPr>
        <w:t>.</w:t>
      </w:r>
    </w:p>
    <w:p w14:paraId="753FFA5B" w14:textId="4B4E705A" w:rsidR="00E24B88" w:rsidRPr="00C138DE" w:rsidRDefault="00E24B88" w:rsidP="00E24B88">
      <w:pPr>
        <w:ind w:left="284" w:right="288" w:firstLine="720"/>
        <w:jc w:val="both"/>
        <w:rPr>
          <w:rFonts w:eastAsia="Times New Roman" w:cs="Times New Roman"/>
          <w:lang w:val="id-ID"/>
        </w:rPr>
      </w:pPr>
      <w:r w:rsidRPr="00C138DE">
        <w:rPr>
          <w:rFonts w:eastAsia="Times New Roman" w:cs="Times New Roman"/>
          <w:lang w:val="id-ID"/>
        </w:rPr>
        <w:t xml:space="preserve">A </w:t>
      </w:r>
      <w:proofErr w:type="spellStart"/>
      <w:r w:rsidRPr="00C138DE">
        <w:rPr>
          <w:rFonts w:eastAsia="Times New Roman" w:cs="Times New Roman"/>
          <w:lang w:val="id-ID"/>
        </w:rPr>
        <w:t>second</w:t>
      </w:r>
      <w:proofErr w:type="spellEnd"/>
      <w:r w:rsidRPr="00C138DE">
        <w:rPr>
          <w:rFonts w:eastAsia="Times New Roman" w:cs="Times New Roman"/>
          <w:lang w:val="id-ID"/>
        </w:rPr>
        <w:t xml:space="preserve"> </w:t>
      </w:r>
      <w:proofErr w:type="spellStart"/>
      <w:r w:rsidRPr="00C138DE">
        <w:rPr>
          <w:rFonts w:eastAsia="Times New Roman" w:cs="Times New Roman"/>
          <w:lang w:val="id-ID"/>
        </w:rPr>
        <w:t>practical</w:t>
      </w:r>
      <w:proofErr w:type="spellEnd"/>
      <w:r w:rsidRPr="00C138DE">
        <w:rPr>
          <w:rFonts w:eastAsia="Times New Roman" w:cs="Times New Roman"/>
          <w:lang w:val="id-ID"/>
        </w:rPr>
        <w:t xml:space="preserve"> </w:t>
      </w:r>
      <w:proofErr w:type="spellStart"/>
      <w:r w:rsidRPr="00C138DE">
        <w:rPr>
          <w:rFonts w:eastAsia="Times New Roman" w:cs="Times New Roman"/>
          <w:lang w:val="id-ID"/>
        </w:rPr>
        <w:t>message</w:t>
      </w:r>
      <w:proofErr w:type="spellEnd"/>
      <w:r w:rsidRPr="00C138DE">
        <w:rPr>
          <w:rFonts w:eastAsia="Times New Roman" w:cs="Times New Roman"/>
          <w:lang w:val="id-ID"/>
        </w:rPr>
        <w:t xml:space="preserve"> </w:t>
      </w:r>
      <w:proofErr w:type="spellStart"/>
      <w:r w:rsidRPr="00C138DE">
        <w:rPr>
          <w:rFonts w:eastAsia="Times New Roman" w:cs="Times New Roman"/>
          <w:lang w:val="id-ID"/>
        </w:rPr>
        <w:t>concerns</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imperative</w:t>
      </w:r>
      <w:proofErr w:type="spellEnd"/>
      <w:r w:rsidRPr="00C138DE">
        <w:rPr>
          <w:rFonts w:eastAsia="Times New Roman" w:cs="Times New Roman"/>
          <w:lang w:val="id-ID"/>
        </w:rPr>
        <w:t xml:space="preserve"> </w:t>
      </w:r>
      <w:proofErr w:type="spellStart"/>
      <w:r w:rsidRPr="00C138DE">
        <w:rPr>
          <w:rFonts w:eastAsia="Times New Roman" w:cs="Times New Roman"/>
          <w:lang w:val="id-ID"/>
        </w:rPr>
        <w:t>to</w:t>
      </w:r>
      <w:proofErr w:type="spellEnd"/>
      <w:r w:rsidRPr="00C138DE">
        <w:rPr>
          <w:rFonts w:eastAsia="Times New Roman" w:cs="Times New Roman"/>
          <w:lang w:val="id-ID"/>
        </w:rPr>
        <w:t xml:space="preserve"> </w:t>
      </w:r>
      <w:proofErr w:type="spellStart"/>
      <w:r w:rsidRPr="00C138DE">
        <w:rPr>
          <w:rFonts w:eastAsia="Times New Roman" w:cs="Times New Roman"/>
          <w:lang w:val="id-ID"/>
        </w:rPr>
        <w:t>embed</w:t>
      </w:r>
      <w:proofErr w:type="spellEnd"/>
      <w:r w:rsidRPr="00C138DE">
        <w:rPr>
          <w:rFonts w:eastAsia="Times New Roman" w:cs="Times New Roman"/>
          <w:lang w:val="id-ID"/>
        </w:rPr>
        <w:t xml:space="preserve"> </w:t>
      </w:r>
      <w:proofErr w:type="spellStart"/>
      <w:r w:rsidRPr="00C138DE">
        <w:rPr>
          <w:rFonts w:eastAsia="Times New Roman" w:cs="Times New Roman"/>
          <w:lang w:val="id-ID"/>
        </w:rPr>
        <w:t>brief</w:t>
      </w:r>
      <w:proofErr w:type="spellEnd"/>
      <w:r w:rsidRPr="00C138DE">
        <w:rPr>
          <w:rFonts w:eastAsia="Times New Roman" w:cs="Times New Roman"/>
          <w:lang w:val="id-ID"/>
        </w:rPr>
        <w:t xml:space="preserve">, </w:t>
      </w:r>
      <w:proofErr w:type="spellStart"/>
      <w:r w:rsidRPr="00C138DE">
        <w:rPr>
          <w:rFonts w:eastAsia="Times New Roman" w:cs="Times New Roman"/>
          <w:lang w:val="id-ID"/>
        </w:rPr>
        <w:t>psychometrically</w:t>
      </w:r>
      <w:proofErr w:type="spellEnd"/>
      <w:r w:rsidRPr="00C138DE">
        <w:rPr>
          <w:rFonts w:eastAsia="Times New Roman" w:cs="Times New Roman"/>
          <w:lang w:val="id-ID"/>
        </w:rPr>
        <w:t xml:space="preserve"> </w:t>
      </w:r>
      <w:proofErr w:type="spellStart"/>
      <w:r w:rsidRPr="00C138DE">
        <w:rPr>
          <w:rFonts w:eastAsia="Times New Roman" w:cs="Times New Roman"/>
          <w:lang w:val="id-ID"/>
        </w:rPr>
        <w:t>sound</w:t>
      </w:r>
      <w:proofErr w:type="spellEnd"/>
      <w:r w:rsidRPr="00C138DE">
        <w:rPr>
          <w:rFonts w:eastAsia="Times New Roman" w:cs="Times New Roman"/>
          <w:lang w:val="id-ID"/>
        </w:rPr>
        <w:t xml:space="preserve"> </w:t>
      </w:r>
      <w:proofErr w:type="spellStart"/>
      <w:r w:rsidRPr="00C138DE">
        <w:rPr>
          <w:rFonts w:eastAsia="Times New Roman" w:cs="Times New Roman"/>
          <w:lang w:val="id-ID"/>
        </w:rPr>
        <w:t>screening</w:t>
      </w:r>
      <w:proofErr w:type="spellEnd"/>
      <w:r w:rsidRPr="00C138DE">
        <w:rPr>
          <w:rFonts w:eastAsia="Times New Roman" w:cs="Times New Roman"/>
          <w:lang w:val="id-ID"/>
        </w:rPr>
        <w:t xml:space="preserve"> </w:t>
      </w:r>
      <w:proofErr w:type="spellStart"/>
      <w:r w:rsidRPr="00C138DE">
        <w:rPr>
          <w:rFonts w:eastAsia="Times New Roman" w:cs="Times New Roman"/>
          <w:lang w:val="id-ID"/>
        </w:rPr>
        <w:t>instruments</w:t>
      </w:r>
      <w:proofErr w:type="spellEnd"/>
      <w:r w:rsidRPr="00C138DE">
        <w:rPr>
          <w:rFonts w:eastAsia="Times New Roman" w:cs="Times New Roman"/>
          <w:lang w:val="id-ID"/>
        </w:rPr>
        <w:t xml:space="preserve"> </w:t>
      </w:r>
      <w:proofErr w:type="spellStart"/>
      <w:r w:rsidRPr="00C138DE">
        <w:rPr>
          <w:rFonts w:eastAsia="Times New Roman" w:cs="Times New Roman"/>
          <w:lang w:val="id-ID"/>
        </w:rPr>
        <w:t>into</w:t>
      </w:r>
      <w:proofErr w:type="spellEnd"/>
      <w:r w:rsidRPr="00C138DE">
        <w:rPr>
          <w:rFonts w:eastAsia="Times New Roman" w:cs="Times New Roman"/>
          <w:lang w:val="id-ID"/>
        </w:rPr>
        <w:t xml:space="preserve"> </w:t>
      </w:r>
      <w:proofErr w:type="spellStart"/>
      <w:r w:rsidRPr="00C138DE">
        <w:rPr>
          <w:rFonts w:eastAsia="Times New Roman" w:cs="Times New Roman"/>
          <w:lang w:val="id-ID"/>
        </w:rPr>
        <w:t>everyday</w:t>
      </w:r>
      <w:proofErr w:type="spellEnd"/>
      <w:r w:rsidRPr="00C138DE">
        <w:rPr>
          <w:rFonts w:eastAsia="Times New Roman" w:cs="Times New Roman"/>
          <w:lang w:val="id-ID"/>
        </w:rPr>
        <w:t xml:space="preserve"> diabetes </w:t>
      </w:r>
      <w:proofErr w:type="spellStart"/>
      <w:r w:rsidRPr="00C138DE">
        <w:rPr>
          <w:rFonts w:eastAsia="Times New Roman" w:cs="Times New Roman"/>
          <w:lang w:val="id-ID"/>
        </w:rPr>
        <w:t>consultations</w:t>
      </w:r>
      <w:proofErr w:type="spellEnd"/>
      <w:r w:rsidRPr="00C138DE">
        <w:rPr>
          <w:rFonts w:eastAsia="Times New Roman" w:cs="Times New Roman"/>
          <w:lang w:val="id-ID"/>
        </w:rPr>
        <w:t xml:space="preserve">. </w:t>
      </w:r>
      <w:proofErr w:type="spellStart"/>
      <w:r w:rsidRPr="00C138DE">
        <w:rPr>
          <w:rFonts w:eastAsia="Times New Roman" w:cs="Times New Roman"/>
          <w:lang w:val="id-ID"/>
        </w:rPr>
        <w:t>Existing</w:t>
      </w:r>
      <w:proofErr w:type="spellEnd"/>
      <w:r w:rsidRPr="00C138DE">
        <w:rPr>
          <w:rFonts w:eastAsia="Times New Roman" w:cs="Times New Roman"/>
          <w:lang w:val="id-ID"/>
        </w:rPr>
        <w:t xml:space="preserve"> </w:t>
      </w:r>
      <w:proofErr w:type="spellStart"/>
      <w:r w:rsidRPr="00C138DE">
        <w:rPr>
          <w:rFonts w:eastAsia="Times New Roman" w:cs="Times New Roman"/>
          <w:lang w:val="id-ID"/>
        </w:rPr>
        <w:t>validation</w:t>
      </w:r>
      <w:proofErr w:type="spellEnd"/>
      <w:r w:rsidRPr="00C138DE">
        <w:rPr>
          <w:rFonts w:eastAsia="Times New Roman" w:cs="Times New Roman"/>
          <w:lang w:val="id-ID"/>
        </w:rPr>
        <w:t xml:space="preserve"> </w:t>
      </w:r>
      <w:proofErr w:type="spellStart"/>
      <w:r w:rsidRPr="00C138DE">
        <w:rPr>
          <w:rFonts w:eastAsia="Times New Roman" w:cs="Times New Roman"/>
          <w:lang w:val="id-ID"/>
        </w:rPr>
        <w:t>work</w:t>
      </w:r>
      <w:proofErr w:type="spellEnd"/>
      <w:r w:rsidRPr="00C138DE">
        <w:rPr>
          <w:rFonts w:eastAsia="Times New Roman" w:cs="Times New Roman"/>
          <w:lang w:val="id-ID"/>
        </w:rPr>
        <w:t xml:space="preserve"> has </w:t>
      </w:r>
      <w:proofErr w:type="spellStart"/>
      <w:r w:rsidRPr="00C138DE">
        <w:rPr>
          <w:rFonts w:eastAsia="Times New Roman" w:cs="Times New Roman"/>
          <w:lang w:val="id-ID"/>
        </w:rPr>
        <w:t>demonstrated</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that</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SARC-F </w:t>
      </w:r>
      <w:proofErr w:type="spellStart"/>
      <w:r w:rsidRPr="00C138DE">
        <w:rPr>
          <w:rFonts w:eastAsia="Times New Roman" w:cs="Times New Roman"/>
          <w:lang w:val="id-ID"/>
        </w:rPr>
        <w:t>and</w:t>
      </w:r>
      <w:proofErr w:type="spellEnd"/>
      <w:r w:rsidRPr="00C138DE">
        <w:rPr>
          <w:rFonts w:eastAsia="Times New Roman" w:cs="Times New Roman"/>
          <w:lang w:val="id-ID"/>
        </w:rPr>
        <w:t xml:space="preserve"> FRAIL </w:t>
      </w:r>
      <w:proofErr w:type="spellStart"/>
      <w:r w:rsidRPr="00C138DE">
        <w:rPr>
          <w:rFonts w:eastAsia="Times New Roman" w:cs="Times New Roman"/>
          <w:lang w:val="id-ID"/>
        </w:rPr>
        <w:t>scales</w:t>
      </w:r>
      <w:proofErr w:type="spellEnd"/>
      <w:r w:rsidRPr="00C138DE">
        <w:rPr>
          <w:rFonts w:eastAsia="Times New Roman" w:cs="Times New Roman"/>
          <w:lang w:val="id-ID"/>
        </w:rPr>
        <w:t xml:space="preserve"> </w:t>
      </w:r>
      <w:proofErr w:type="spellStart"/>
      <w:r w:rsidRPr="00C138DE">
        <w:rPr>
          <w:rFonts w:eastAsia="Times New Roman" w:cs="Times New Roman"/>
          <w:lang w:val="id-ID"/>
        </w:rPr>
        <w:t>reliably</w:t>
      </w:r>
      <w:proofErr w:type="spellEnd"/>
      <w:r w:rsidRPr="00C138DE">
        <w:rPr>
          <w:rFonts w:eastAsia="Times New Roman" w:cs="Times New Roman"/>
          <w:lang w:val="id-ID"/>
        </w:rPr>
        <w:t xml:space="preserve"> </w:t>
      </w:r>
      <w:proofErr w:type="spellStart"/>
      <w:r w:rsidRPr="00C138DE">
        <w:rPr>
          <w:rFonts w:eastAsia="Times New Roman" w:cs="Times New Roman"/>
          <w:lang w:val="id-ID"/>
        </w:rPr>
        <w:t>predict</w:t>
      </w:r>
      <w:proofErr w:type="spellEnd"/>
      <w:r w:rsidRPr="00C138DE">
        <w:rPr>
          <w:rFonts w:eastAsia="Times New Roman" w:cs="Times New Roman"/>
          <w:lang w:val="id-ID"/>
        </w:rPr>
        <w:t xml:space="preserve"> </w:t>
      </w:r>
      <w:proofErr w:type="spellStart"/>
      <w:r w:rsidRPr="00C138DE">
        <w:rPr>
          <w:rFonts w:eastAsia="Times New Roman" w:cs="Times New Roman"/>
          <w:lang w:val="id-ID"/>
        </w:rPr>
        <w:t>unfavorable</w:t>
      </w:r>
      <w:proofErr w:type="spellEnd"/>
      <w:r w:rsidRPr="00C138DE">
        <w:rPr>
          <w:rFonts w:eastAsia="Times New Roman" w:cs="Times New Roman"/>
          <w:lang w:val="id-ID"/>
        </w:rPr>
        <w:t xml:space="preserve"> </w:t>
      </w:r>
      <w:proofErr w:type="spellStart"/>
      <w:r w:rsidRPr="00C138DE">
        <w:rPr>
          <w:rFonts w:eastAsia="Times New Roman" w:cs="Times New Roman"/>
          <w:lang w:val="id-ID"/>
        </w:rPr>
        <w:t>clinical</w:t>
      </w:r>
      <w:proofErr w:type="spellEnd"/>
      <w:r w:rsidRPr="00C138DE">
        <w:rPr>
          <w:rFonts w:eastAsia="Times New Roman" w:cs="Times New Roman"/>
          <w:lang w:val="id-ID"/>
        </w:rPr>
        <w:t xml:space="preserve"> </w:t>
      </w:r>
      <w:proofErr w:type="spellStart"/>
      <w:r w:rsidRPr="00C138DE">
        <w:rPr>
          <w:rFonts w:eastAsia="Times New Roman" w:cs="Times New Roman"/>
          <w:lang w:val="id-ID"/>
        </w:rPr>
        <w:t>trajectories</w:t>
      </w:r>
      <w:proofErr w:type="spellEnd"/>
      <w:r w:rsidRPr="00C138DE">
        <w:rPr>
          <w:rFonts w:eastAsia="Times New Roman" w:cs="Times New Roman"/>
          <w:lang w:val="id-ID"/>
        </w:rPr>
        <w:t xml:space="preserve">, </w:t>
      </w:r>
      <w:proofErr w:type="spellStart"/>
      <w:r w:rsidRPr="00C138DE">
        <w:rPr>
          <w:rFonts w:eastAsia="Times New Roman" w:cs="Times New Roman"/>
          <w:lang w:val="id-ID"/>
        </w:rPr>
        <w:t>encompassing</w:t>
      </w:r>
      <w:proofErr w:type="spellEnd"/>
      <w:r w:rsidRPr="00C138DE">
        <w:rPr>
          <w:rFonts w:eastAsia="Times New Roman" w:cs="Times New Roman"/>
          <w:lang w:val="id-ID"/>
        </w:rPr>
        <w:t xml:space="preserve"> </w:t>
      </w:r>
      <w:proofErr w:type="spellStart"/>
      <w:r w:rsidRPr="00C138DE">
        <w:rPr>
          <w:rFonts w:eastAsia="Times New Roman" w:cs="Times New Roman"/>
          <w:lang w:val="id-ID"/>
        </w:rPr>
        <w:t>emergency</w:t>
      </w:r>
      <w:proofErr w:type="spellEnd"/>
      <w:r w:rsidRPr="00C138DE">
        <w:rPr>
          <w:rFonts w:eastAsia="Times New Roman" w:cs="Times New Roman"/>
          <w:lang w:val="id-ID"/>
        </w:rPr>
        <w:t xml:space="preserve"> </w:t>
      </w:r>
      <w:proofErr w:type="spellStart"/>
      <w:r w:rsidRPr="00C138DE">
        <w:rPr>
          <w:rFonts w:eastAsia="Times New Roman" w:cs="Times New Roman"/>
          <w:lang w:val="id-ID"/>
        </w:rPr>
        <w:t>hospitalization</w:t>
      </w:r>
      <w:proofErr w:type="spellEnd"/>
      <w:r w:rsidRPr="00C138DE">
        <w:rPr>
          <w:rFonts w:eastAsia="Times New Roman" w:cs="Times New Roman"/>
          <w:lang w:val="id-ID"/>
        </w:rPr>
        <w:t xml:space="preserve"> </w:t>
      </w:r>
      <w:proofErr w:type="spellStart"/>
      <w:r w:rsidRPr="00C138DE">
        <w:rPr>
          <w:rFonts w:eastAsia="Times New Roman" w:cs="Times New Roman"/>
          <w:lang w:val="id-ID"/>
        </w:rPr>
        <w:t>and</w:t>
      </w:r>
      <w:proofErr w:type="spellEnd"/>
      <w:r w:rsidRPr="00C138DE">
        <w:rPr>
          <w:rFonts w:eastAsia="Times New Roman" w:cs="Times New Roman"/>
          <w:lang w:val="id-ID"/>
        </w:rPr>
        <w:t xml:space="preserve"> </w:t>
      </w:r>
      <w:proofErr w:type="spellStart"/>
      <w:r w:rsidRPr="00C138DE">
        <w:rPr>
          <w:rFonts w:eastAsia="Times New Roman" w:cs="Times New Roman"/>
          <w:lang w:val="id-ID"/>
        </w:rPr>
        <w:t>loss</w:t>
      </w:r>
      <w:proofErr w:type="spellEnd"/>
      <w:r w:rsidRPr="00C138DE">
        <w:rPr>
          <w:rFonts w:eastAsia="Times New Roman" w:cs="Times New Roman"/>
          <w:lang w:val="id-ID"/>
        </w:rPr>
        <w:t xml:space="preserve"> </w:t>
      </w:r>
      <w:proofErr w:type="spellStart"/>
      <w:r w:rsidRPr="00C138DE">
        <w:rPr>
          <w:rFonts w:eastAsia="Times New Roman" w:cs="Times New Roman"/>
          <w:lang w:val="id-ID"/>
        </w:rPr>
        <w:t>of</w:t>
      </w:r>
      <w:proofErr w:type="spellEnd"/>
      <w:r w:rsidRPr="00C138DE">
        <w:rPr>
          <w:rFonts w:eastAsia="Times New Roman" w:cs="Times New Roman"/>
          <w:lang w:val="id-ID"/>
        </w:rPr>
        <w:t xml:space="preserve"> </w:t>
      </w:r>
      <w:proofErr w:type="spellStart"/>
      <w:r w:rsidRPr="00C138DE">
        <w:rPr>
          <w:rFonts w:eastAsia="Times New Roman" w:cs="Times New Roman"/>
          <w:lang w:val="id-ID"/>
        </w:rPr>
        <w:t>functional</w:t>
      </w:r>
      <w:proofErr w:type="spellEnd"/>
      <w:r w:rsidRPr="00C138DE">
        <w:rPr>
          <w:rFonts w:eastAsia="Times New Roman" w:cs="Times New Roman"/>
          <w:lang w:val="id-ID"/>
        </w:rPr>
        <w:t xml:space="preserve"> </w:t>
      </w:r>
      <w:proofErr w:type="spellStart"/>
      <w:r w:rsidRPr="00C138DE">
        <w:rPr>
          <w:rFonts w:eastAsia="Times New Roman" w:cs="Times New Roman"/>
          <w:lang w:val="id-ID"/>
        </w:rPr>
        <w:t>autonomy</w:t>
      </w:r>
      <w:proofErr w:type="spellEnd"/>
      <w:r w:rsidRPr="00C138DE">
        <w:rPr>
          <w:rFonts w:eastAsia="Times New Roman" w:cs="Times New Roman"/>
          <w:lang w:val="id-ID"/>
        </w:rPr>
        <w:t xml:space="preserve">, in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diabetic</w:t>
      </w:r>
      <w:proofErr w:type="spellEnd"/>
      <w:r w:rsidRPr="00C138DE">
        <w:rPr>
          <w:rFonts w:eastAsia="Times New Roman" w:cs="Times New Roman"/>
          <w:lang w:val="id-ID"/>
        </w:rPr>
        <w:t xml:space="preserve"> </w:t>
      </w:r>
      <w:proofErr w:type="spellStart"/>
      <w:r w:rsidRPr="00C138DE">
        <w:rPr>
          <w:rFonts w:eastAsia="Times New Roman" w:cs="Times New Roman"/>
          <w:lang w:val="id-ID"/>
        </w:rPr>
        <w:t>patient</w:t>
      </w:r>
      <w:proofErr w:type="spellEnd"/>
      <w:r w:rsidRPr="00C138DE">
        <w:rPr>
          <w:rFonts w:eastAsia="Times New Roman" w:cs="Times New Roman"/>
          <w:lang w:val="id-ID"/>
        </w:rPr>
        <w:t xml:space="preserve"> </w:t>
      </w:r>
      <w:proofErr w:type="spellStart"/>
      <w:r w:rsidRPr="00C138DE">
        <w:rPr>
          <w:rFonts w:eastAsia="Times New Roman" w:cs="Times New Roman"/>
          <w:lang w:val="id-ID"/>
        </w:rPr>
        <w:t>population</w:t>
      </w:r>
      <w:proofErr w:type="spellEnd"/>
      <w:r w:rsidRPr="00C138DE">
        <w:rPr>
          <w:rFonts w:eastAsia="Times New Roman" w:cs="Times New Roman"/>
          <w:lang w:val="id-ID"/>
        </w:rPr>
        <w:t xml:space="preserve"> </w:t>
      </w:r>
      <w:hyperlink w:anchor="Liccini" w:history="1">
        <w:r w:rsidRPr="00C138DE">
          <w:rPr>
            <w:rStyle w:val="Hyperlink"/>
            <w:rFonts w:eastAsia="Times New Roman" w:cs="Times New Roman"/>
            <w:u w:val="none"/>
            <w:lang w:val="id-ID"/>
          </w:rPr>
          <w:t>(</w:t>
        </w:r>
        <w:proofErr w:type="spellStart"/>
        <w:r w:rsidRPr="00C138DE">
          <w:rPr>
            <w:rStyle w:val="Hyperlink"/>
            <w:rFonts w:eastAsia="Times New Roman" w:cs="Times New Roman"/>
            <w:u w:val="none"/>
            <w:lang w:val="id-ID"/>
          </w:rPr>
          <w:t>Liccini</w:t>
        </w:r>
        <w:proofErr w:type="spellEnd"/>
        <w:r w:rsidRPr="00C138DE">
          <w:rPr>
            <w:rStyle w:val="Hyperlink"/>
            <w:rFonts w:eastAsia="Times New Roman" w:cs="Times New Roman"/>
            <w:u w:val="none"/>
            <w:lang w:val="id-ID"/>
          </w:rPr>
          <w:t xml:space="preserve"> &amp; </w:t>
        </w:r>
        <w:proofErr w:type="spellStart"/>
        <w:r w:rsidRPr="00C138DE">
          <w:rPr>
            <w:rStyle w:val="Hyperlink"/>
            <w:rFonts w:eastAsia="Times New Roman" w:cs="Times New Roman"/>
            <w:u w:val="none"/>
            <w:lang w:val="id-ID"/>
          </w:rPr>
          <w:t>Malmstrom</w:t>
        </w:r>
        <w:proofErr w:type="spellEnd"/>
        <w:r w:rsidRPr="00C138DE">
          <w:rPr>
            <w:rStyle w:val="Hyperlink"/>
            <w:rFonts w:eastAsia="Times New Roman" w:cs="Times New Roman"/>
            <w:u w:val="none"/>
            <w:lang w:val="id-ID"/>
          </w:rPr>
          <w:t>, 2016)</w:t>
        </w:r>
      </w:hyperlink>
      <w:r w:rsidRPr="00C138DE">
        <w:rPr>
          <w:rFonts w:eastAsia="Times New Roman" w:cs="Times New Roman"/>
          <w:lang w:val="id-ID"/>
        </w:rPr>
        <w:t xml:space="preserve">. </w:t>
      </w:r>
      <w:proofErr w:type="spellStart"/>
      <w:r w:rsidRPr="00C138DE">
        <w:rPr>
          <w:rFonts w:eastAsia="Times New Roman" w:cs="Times New Roman"/>
          <w:lang w:val="id-ID"/>
        </w:rPr>
        <w:t>Pairing</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these</w:t>
      </w:r>
      <w:proofErr w:type="spellEnd"/>
      <w:r w:rsidRPr="00C138DE">
        <w:rPr>
          <w:rFonts w:eastAsia="Times New Roman" w:cs="Times New Roman"/>
          <w:lang w:val="id-ID"/>
        </w:rPr>
        <w:t xml:space="preserve"> </w:t>
      </w:r>
      <w:proofErr w:type="spellStart"/>
      <w:r w:rsidRPr="00C138DE">
        <w:rPr>
          <w:rFonts w:eastAsia="Times New Roman" w:cs="Times New Roman"/>
          <w:lang w:val="id-ID"/>
        </w:rPr>
        <w:t>two</w:t>
      </w:r>
      <w:proofErr w:type="spellEnd"/>
      <w:r w:rsidRPr="00C138DE">
        <w:rPr>
          <w:rFonts w:eastAsia="Times New Roman" w:cs="Times New Roman"/>
          <w:lang w:val="id-ID"/>
        </w:rPr>
        <w:t xml:space="preserve"> </w:t>
      </w:r>
      <w:proofErr w:type="spellStart"/>
      <w:r w:rsidRPr="00C138DE">
        <w:rPr>
          <w:rFonts w:eastAsia="Times New Roman" w:cs="Times New Roman"/>
          <w:lang w:val="id-ID"/>
        </w:rPr>
        <w:t>tools</w:t>
      </w:r>
      <w:proofErr w:type="spellEnd"/>
      <w:r w:rsidRPr="00C138DE">
        <w:rPr>
          <w:rFonts w:eastAsia="Times New Roman" w:cs="Times New Roman"/>
          <w:lang w:val="id-ID"/>
        </w:rPr>
        <w:t xml:space="preserve"> </w:t>
      </w:r>
      <w:proofErr w:type="spellStart"/>
      <w:r w:rsidRPr="00C138DE">
        <w:rPr>
          <w:rFonts w:eastAsia="Times New Roman" w:cs="Times New Roman"/>
          <w:lang w:val="id-ID"/>
        </w:rPr>
        <w:t>with</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MMSE </w:t>
      </w:r>
      <w:proofErr w:type="spellStart"/>
      <w:r w:rsidRPr="00C138DE">
        <w:rPr>
          <w:rFonts w:eastAsia="Times New Roman" w:cs="Times New Roman"/>
          <w:lang w:val="id-ID"/>
        </w:rPr>
        <w:t>creates</w:t>
      </w:r>
      <w:proofErr w:type="spellEnd"/>
      <w:r w:rsidRPr="00C138DE">
        <w:rPr>
          <w:rFonts w:eastAsia="Times New Roman" w:cs="Times New Roman"/>
          <w:lang w:val="id-ID"/>
        </w:rPr>
        <w:t xml:space="preserve"> a </w:t>
      </w:r>
      <w:proofErr w:type="spellStart"/>
      <w:r w:rsidRPr="00C138DE">
        <w:rPr>
          <w:rFonts w:eastAsia="Times New Roman" w:cs="Times New Roman"/>
          <w:lang w:val="id-ID"/>
        </w:rPr>
        <w:t>compact</w:t>
      </w:r>
      <w:proofErr w:type="spellEnd"/>
      <w:r w:rsidRPr="00C138DE">
        <w:rPr>
          <w:rFonts w:eastAsia="Times New Roman" w:cs="Times New Roman"/>
          <w:lang w:val="id-ID"/>
        </w:rPr>
        <w:t xml:space="preserve"> </w:t>
      </w:r>
      <w:proofErr w:type="spellStart"/>
      <w:r w:rsidRPr="00C138DE">
        <w:rPr>
          <w:rFonts w:eastAsia="Times New Roman" w:cs="Times New Roman"/>
          <w:lang w:val="id-ID"/>
        </w:rPr>
        <w:t>yet</w:t>
      </w:r>
      <w:proofErr w:type="spellEnd"/>
      <w:r w:rsidRPr="00C138DE">
        <w:rPr>
          <w:rFonts w:eastAsia="Times New Roman" w:cs="Times New Roman"/>
          <w:lang w:val="id-ID"/>
        </w:rPr>
        <w:t xml:space="preserve"> </w:t>
      </w:r>
      <w:proofErr w:type="spellStart"/>
      <w:r w:rsidRPr="00C138DE">
        <w:rPr>
          <w:rFonts w:eastAsia="Times New Roman" w:cs="Times New Roman"/>
          <w:lang w:val="id-ID"/>
        </w:rPr>
        <w:t>comprehensive</w:t>
      </w:r>
      <w:proofErr w:type="spellEnd"/>
      <w:r w:rsidRPr="00C138DE">
        <w:rPr>
          <w:rFonts w:eastAsia="Times New Roman" w:cs="Times New Roman"/>
          <w:lang w:val="id-ID"/>
        </w:rPr>
        <w:t xml:space="preserve"> </w:t>
      </w:r>
      <w:proofErr w:type="spellStart"/>
      <w:r w:rsidRPr="00C138DE">
        <w:rPr>
          <w:rFonts w:eastAsia="Times New Roman" w:cs="Times New Roman"/>
          <w:lang w:val="id-ID"/>
        </w:rPr>
        <w:t>assessment</w:t>
      </w:r>
      <w:proofErr w:type="spellEnd"/>
      <w:r w:rsidRPr="00C138DE">
        <w:rPr>
          <w:rFonts w:eastAsia="Times New Roman" w:cs="Times New Roman"/>
          <w:lang w:val="id-ID"/>
        </w:rPr>
        <w:t xml:space="preserve"> </w:t>
      </w:r>
      <w:proofErr w:type="spellStart"/>
      <w:r w:rsidRPr="00C138DE">
        <w:rPr>
          <w:rFonts w:eastAsia="Times New Roman" w:cs="Times New Roman"/>
          <w:lang w:val="id-ID"/>
        </w:rPr>
        <w:t>battery</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that</w:t>
      </w:r>
      <w:proofErr w:type="spellEnd"/>
      <w:r w:rsidRPr="00C138DE">
        <w:rPr>
          <w:rFonts w:eastAsia="Times New Roman" w:cs="Times New Roman"/>
          <w:lang w:val="id-ID"/>
        </w:rPr>
        <w:t xml:space="preserve"> </w:t>
      </w:r>
      <w:proofErr w:type="spellStart"/>
      <w:r w:rsidRPr="00C138DE">
        <w:rPr>
          <w:rFonts w:eastAsia="Times New Roman" w:cs="Times New Roman"/>
          <w:lang w:val="id-ID"/>
        </w:rPr>
        <w:t>is</w:t>
      </w:r>
      <w:proofErr w:type="spellEnd"/>
      <w:r w:rsidRPr="00C138DE">
        <w:rPr>
          <w:rFonts w:eastAsia="Times New Roman" w:cs="Times New Roman"/>
          <w:lang w:val="id-ID"/>
        </w:rPr>
        <w:t xml:space="preserve"> </w:t>
      </w:r>
      <w:proofErr w:type="spellStart"/>
      <w:r w:rsidRPr="00C138DE">
        <w:rPr>
          <w:rFonts w:eastAsia="Times New Roman" w:cs="Times New Roman"/>
          <w:lang w:val="id-ID"/>
        </w:rPr>
        <w:t>economical</w:t>
      </w:r>
      <w:proofErr w:type="spellEnd"/>
      <w:r w:rsidRPr="00C138DE">
        <w:rPr>
          <w:rFonts w:eastAsia="Times New Roman" w:cs="Times New Roman"/>
          <w:lang w:val="id-ID"/>
        </w:rPr>
        <w:t>, non-</w:t>
      </w:r>
      <w:proofErr w:type="spellStart"/>
      <w:r w:rsidRPr="00C138DE">
        <w:rPr>
          <w:rFonts w:eastAsia="Times New Roman" w:cs="Times New Roman"/>
          <w:lang w:val="id-ID"/>
        </w:rPr>
        <w:t>invasive</w:t>
      </w:r>
      <w:proofErr w:type="spellEnd"/>
      <w:r w:rsidRPr="00C138DE">
        <w:rPr>
          <w:rFonts w:eastAsia="Times New Roman" w:cs="Times New Roman"/>
          <w:lang w:val="id-ID"/>
        </w:rPr>
        <w:t xml:space="preserve">, </w:t>
      </w:r>
      <w:proofErr w:type="spellStart"/>
      <w:r w:rsidRPr="00C138DE">
        <w:rPr>
          <w:rFonts w:eastAsia="Times New Roman" w:cs="Times New Roman"/>
          <w:lang w:val="id-ID"/>
        </w:rPr>
        <w:t>and</w:t>
      </w:r>
      <w:proofErr w:type="spellEnd"/>
      <w:r w:rsidRPr="00C138DE">
        <w:rPr>
          <w:rFonts w:eastAsia="Times New Roman" w:cs="Times New Roman"/>
          <w:lang w:val="id-ID"/>
        </w:rPr>
        <w:t xml:space="preserve"> </w:t>
      </w:r>
      <w:proofErr w:type="spellStart"/>
      <w:r w:rsidRPr="00C138DE">
        <w:rPr>
          <w:rFonts w:eastAsia="Times New Roman" w:cs="Times New Roman"/>
          <w:lang w:val="id-ID"/>
        </w:rPr>
        <w:t>feasible</w:t>
      </w:r>
      <w:proofErr w:type="spellEnd"/>
      <w:r w:rsidRPr="00C138DE">
        <w:rPr>
          <w:rFonts w:eastAsia="Times New Roman" w:cs="Times New Roman"/>
          <w:lang w:val="id-ID"/>
        </w:rPr>
        <w:t xml:space="preserve"> </w:t>
      </w:r>
      <w:proofErr w:type="spellStart"/>
      <w:r w:rsidRPr="00C138DE">
        <w:rPr>
          <w:rFonts w:eastAsia="Times New Roman" w:cs="Times New Roman"/>
          <w:lang w:val="id-ID"/>
        </w:rPr>
        <w:t>for</w:t>
      </w:r>
      <w:proofErr w:type="spellEnd"/>
      <w:r w:rsidRPr="00C138DE">
        <w:rPr>
          <w:rFonts w:eastAsia="Times New Roman" w:cs="Times New Roman"/>
          <w:lang w:val="id-ID"/>
        </w:rPr>
        <w:t xml:space="preserve"> </w:t>
      </w:r>
      <w:proofErr w:type="spellStart"/>
      <w:r w:rsidRPr="00C138DE">
        <w:rPr>
          <w:rFonts w:eastAsia="Times New Roman" w:cs="Times New Roman"/>
          <w:lang w:val="id-ID"/>
        </w:rPr>
        <w:t>deployment</w:t>
      </w:r>
      <w:proofErr w:type="spellEnd"/>
      <w:r w:rsidRPr="00C138DE">
        <w:rPr>
          <w:rFonts w:eastAsia="Times New Roman" w:cs="Times New Roman"/>
          <w:lang w:val="id-ID"/>
        </w:rPr>
        <w:t xml:space="preserve"> </w:t>
      </w:r>
      <w:proofErr w:type="spellStart"/>
      <w:r w:rsidRPr="00C138DE">
        <w:rPr>
          <w:rFonts w:eastAsia="Times New Roman" w:cs="Times New Roman"/>
          <w:lang w:val="id-ID"/>
        </w:rPr>
        <w:t>by</w:t>
      </w:r>
      <w:proofErr w:type="spellEnd"/>
      <w:r w:rsidRPr="00C138DE">
        <w:rPr>
          <w:rFonts w:eastAsia="Times New Roman" w:cs="Times New Roman"/>
          <w:lang w:val="id-ID"/>
        </w:rPr>
        <w:t xml:space="preserve"> </w:t>
      </w:r>
      <w:proofErr w:type="spellStart"/>
      <w:r w:rsidRPr="00C138DE">
        <w:rPr>
          <w:rFonts w:eastAsia="Times New Roman" w:cs="Times New Roman"/>
          <w:lang w:val="id-ID"/>
        </w:rPr>
        <w:t>frontline</w:t>
      </w:r>
      <w:proofErr w:type="spellEnd"/>
      <w:r w:rsidRPr="00C138DE">
        <w:rPr>
          <w:rFonts w:eastAsia="Times New Roman" w:cs="Times New Roman"/>
          <w:lang w:val="id-ID"/>
        </w:rPr>
        <w:t xml:space="preserve"> </w:t>
      </w:r>
      <w:proofErr w:type="spellStart"/>
      <w:r w:rsidRPr="00C138DE">
        <w:rPr>
          <w:rFonts w:eastAsia="Times New Roman" w:cs="Times New Roman"/>
          <w:lang w:val="id-ID"/>
        </w:rPr>
        <w:t>healthcare</w:t>
      </w:r>
      <w:proofErr w:type="spellEnd"/>
      <w:r w:rsidRPr="00C138DE">
        <w:rPr>
          <w:rFonts w:eastAsia="Times New Roman" w:cs="Times New Roman"/>
          <w:lang w:val="id-ID"/>
        </w:rPr>
        <w:t xml:space="preserve"> </w:t>
      </w:r>
      <w:proofErr w:type="spellStart"/>
      <w:r w:rsidRPr="00C138DE">
        <w:rPr>
          <w:rFonts w:eastAsia="Times New Roman" w:cs="Times New Roman"/>
          <w:lang w:val="id-ID"/>
        </w:rPr>
        <w:t>professionals</w:t>
      </w:r>
      <w:proofErr w:type="spellEnd"/>
      <w:r w:rsidRPr="00C138DE">
        <w:rPr>
          <w:rFonts w:eastAsia="Times New Roman" w:cs="Times New Roman"/>
          <w:lang w:val="id-ID"/>
        </w:rPr>
        <w:t xml:space="preserve"> </w:t>
      </w:r>
      <w:proofErr w:type="spellStart"/>
      <w:r w:rsidRPr="00C138DE">
        <w:rPr>
          <w:rFonts w:eastAsia="Times New Roman" w:cs="Times New Roman"/>
          <w:lang w:val="id-ID"/>
        </w:rPr>
        <w:t>including</w:t>
      </w:r>
      <w:proofErr w:type="spellEnd"/>
      <w:r w:rsidRPr="00C138DE">
        <w:rPr>
          <w:rFonts w:eastAsia="Times New Roman" w:cs="Times New Roman"/>
          <w:lang w:val="id-ID"/>
        </w:rPr>
        <w:t xml:space="preserve"> </w:t>
      </w:r>
      <w:proofErr w:type="spellStart"/>
      <w:r w:rsidRPr="00C138DE">
        <w:rPr>
          <w:rFonts w:eastAsia="Times New Roman" w:cs="Times New Roman"/>
          <w:lang w:val="id-ID"/>
        </w:rPr>
        <w:t>general</w:t>
      </w:r>
      <w:proofErr w:type="spellEnd"/>
      <w:r w:rsidRPr="00C138DE">
        <w:rPr>
          <w:rFonts w:eastAsia="Times New Roman" w:cs="Times New Roman"/>
          <w:lang w:val="id-ID"/>
        </w:rPr>
        <w:t xml:space="preserve"> </w:t>
      </w:r>
      <w:proofErr w:type="spellStart"/>
      <w:r w:rsidRPr="00C138DE">
        <w:rPr>
          <w:rFonts w:eastAsia="Times New Roman" w:cs="Times New Roman"/>
          <w:lang w:val="id-ID"/>
        </w:rPr>
        <w:t>practitioners</w:t>
      </w:r>
      <w:proofErr w:type="spellEnd"/>
      <w:r w:rsidRPr="00C138DE">
        <w:rPr>
          <w:rFonts w:eastAsia="Times New Roman" w:cs="Times New Roman"/>
          <w:lang w:val="id-ID"/>
        </w:rPr>
        <w:t xml:space="preserve"> </w:t>
      </w:r>
      <w:proofErr w:type="spellStart"/>
      <w:r w:rsidRPr="00C138DE">
        <w:rPr>
          <w:rFonts w:eastAsia="Times New Roman" w:cs="Times New Roman"/>
          <w:lang w:val="id-ID"/>
        </w:rPr>
        <w:t>and</w:t>
      </w:r>
      <w:proofErr w:type="spellEnd"/>
      <w:r w:rsidRPr="00C138DE">
        <w:rPr>
          <w:rFonts w:eastAsia="Times New Roman" w:cs="Times New Roman"/>
          <w:lang w:val="id-ID"/>
        </w:rPr>
        <w:t xml:space="preserve"> </w:t>
      </w:r>
      <w:proofErr w:type="spellStart"/>
      <w:r w:rsidRPr="00C138DE">
        <w:rPr>
          <w:rFonts w:eastAsia="Times New Roman" w:cs="Times New Roman"/>
          <w:lang w:val="id-ID"/>
        </w:rPr>
        <w:t>nursing</w:t>
      </w:r>
      <w:proofErr w:type="spellEnd"/>
      <w:r w:rsidRPr="00C138DE">
        <w:rPr>
          <w:rFonts w:eastAsia="Times New Roman" w:cs="Times New Roman"/>
          <w:lang w:val="id-ID"/>
        </w:rPr>
        <w:t xml:space="preserve"> </w:t>
      </w:r>
      <w:proofErr w:type="spellStart"/>
      <w:r w:rsidRPr="00C138DE">
        <w:rPr>
          <w:rFonts w:eastAsia="Times New Roman" w:cs="Times New Roman"/>
          <w:lang w:val="id-ID"/>
        </w:rPr>
        <w:t>personnel</w:t>
      </w:r>
      <w:proofErr w:type="spellEnd"/>
      <w:r w:rsidRPr="00C138DE">
        <w:rPr>
          <w:rFonts w:eastAsia="Times New Roman" w:cs="Times New Roman"/>
          <w:lang w:val="id-ID"/>
        </w:rPr>
        <w:t xml:space="preserve">. Given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international</w:t>
      </w:r>
      <w:proofErr w:type="spellEnd"/>
      <w:r w:rsidRPr="00C138DE">
        <w:rPr>
          <w:rFonts w:eastAsia="Times New Roman" w:cs="Times New Roman"/>
          <w:lang w:val="id-ID"/>
        </w:rPr>
        <w:t xml:space="preserve"> </w:t>
      </w:r>
      <w:proofErr w:type="spellStart"/>
      <w:r w:rsidRPr="00C138DE">
        <w:rPr>
          <w:rFonts w:eastAsia="Times New Roman" w:cs="Times New Roman"/>
          <w:lang w:val="id-ID"/>
        </w:rPr>
        <w:t>expert</w:t>
      </w:r>
      <w:proofErr w:type="spellEnd"/>
      <w:r w:rsidRPr="00C138DE">
        <w:rPr>
          <w:rFonts w:eastAsia="Times New Roman" w:cs="Times New Roman"/>
          <w:lang w:val="id-ID"/>
        </w:rPr>
        <w:t xml:space="preserve"> </w:t>
      </w:r>
      <w:proofErr w:type="spellStart"/>
      <w:r w:rsidRPr="00C138DE">
        <w:rPr>
          <w:rFonts w:eastAsia="Times New Roman" w:cs="Times New Roman"/>
          <w:lang w:val="id-ID"/>
        </w:rPr>
        <w:t>consensus</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that</w:t>
      </w:r>
      <w:proofErr w:type="spellEnd"/>
      <w:r w:rsidRPr="00C138DE">
        <w:rPr>
          <w:rFonts w:eastAsia="Times New Roman" w:cs="Times New Roman"/>
          <w:lang w:val="id-ID"/>
        </w:rPr>
        <w:t xml:space="preserve"> CF </w:t>
      </w:r>
      <w:proofErr w:type="spellStart"/>
      <w:r w:rsidRPr="00C138DE">
        <w:rPr>
          <w:rFonts w:eastAsia="Times New Roman" w:cs="Times New Roman"/>
          <w:lang w:val="id-ID"/>
        </w:rPr>
        <w:t>occupies</w:t>
      </w:r>
      <w:proofErr w:type="spellEnd"/>
      <w:r w:rsidRPr="00C138DE">
        <w:rPr>
          <w:rFonts w:eastAsia="Times New Roman" w:cs="Times New Roman"/>
          <w:lang w:val="id-ID"/>
        </w:rPr>
        <w:t xml:space="preserve"> a </w:t>
      </w:r>
      <w:proofErr w:type="spellStart"/>
      <w:r w:rsidRPr="00C138DE">
        <w:rPr>
          <w:rFonts w:eastAsia="Times New Roman" w:cs="Times New Roman"/>
          <w:lang w:val="id-ID"/>
        </w:rPr>
        <w:t>pre-dementia</w:t>
      </w:r>
      <w:proofErr w:type="spellEnd"/>
      <w:r w:rsidRPr="00C138DE">
        <w:rPr>
          <w:rFonts w:eastAsia="Times New Roman" w:cs="Times New Roman"/>
          <w:lang w:val="id-ID"/>
        </w:rPr>
        <w:t xml:space="preserve"> </w:t>
      </w:r>
      <w:proofErr w:type="spellStart"/>
      <w:r w:rsidRPr="00C138DE">
        <w:rPr>
          <w:rFonts w:eastAsia="Times New Roman" w:cs="Times New Roman"/>
          <w:lang w:val="id-ID"/>
        </w:rPr>
        <w:t>window</w:t>
      </w:r>
      <w:proofErr w:type="spellEnd"/>
      <w:r w:rsidRPr="00C138DE">
        <w:rPr>
          <w:rFonts w:eastAsia="Times New Roman" w:cs="Times New Roman"/>
          <w:lang w:val="id-ID"/>
        </w:rPr>
        <w:t xml:space="preserve"> </w:t>
      </w:r>
      <w:proofErr w:type="spellStart"/>
      <w:r w:rsidRPr="00C138DE">
        <w:rPr>
          <w:rFonts w:eastAsia="Times New Roman" w:cs="Times New Roman"/>
          <w:lang w:val="id-ID"/>
        </w:rPr>
        <w:t>amenable</w:t>
      </w:r>
      <w:proofErr w:type="spellEnd"/>
      <w:r w:rsidRPr="00C138DE">
        <w:rPr>
          <w:rFonts w:eastAsia="Times New Roman" w:cs="Times New Roman"/>
          <w:lang w:val="id-ID"/>
        </w:rPr>
        <w:t xml:space="preserve"> </w:t>
      </w:r>
      <w:proofErr w:type="spellStart"/>
      <w:r w:rsidRPr="00C138DE">
        <w:rPr>
          <w:rFonts w:eastAsia="Times New Roman" w:cs="Times New Roman"/>
          <w:lang w:val="id-ID"/>
        </w:rPr>
        <w:t>to</w:t>
      </w:r>
      <w:proofErr w:type="spellEnd"/>
      <w:r w:rsidRPr="00C138DE">
        <w:rPr>
          <w:rFonts w:eastAsia="Times New Roman" w:cs="Times New Roman"/>
          <w:lang w:val="id-ID"/>
        </w:rPr>
        <w:t xml:space="preserve"> </w:t>
      </w:r>
      <w:proofErr w:type="spellStart"/>
      <w:r w:rsidRPr="00C138DE">
        <w:rPr>
          <w:rFonts w:eastAsia="Times New Roman" w:cs="Times New Roman"/>
          <w:lang w:val="id-ID"/>
        </w:rPr>
        <w:t>intervention</w:t>
      </w:r>
      <w:proofErr w:type="spellEnd"/>
      <w:r w:rsidRPr="00C138DE">
        <w:rPr>
          <w:rFonts w:eastAsia="Times New Roman" w:cs="Times New Roman"/>
          <w:lang w:val="id-ID"/>
        </w:rPr>
        <w:t xml:space="preserve">, </w:t>
      </w:r>
      <w:proofErr w:type="spellStart"/>
      <w:r w:rsidRPr="00C138DE">
        <w:rPr>
          <w:rFonts w:eastAsia="Times New Roman" w:cs="Times New Roman"/>
          <w:lang w:val="id-ID"/>
        </w:rPr>
        <w:t>its</w:t>
      </w:r>
      <w:proofErr w:type="spellEnd"/>
      <w:r w:rsidRPr="00C138DE">
        <w:rPr>
          <w:rFonts w:eastAsia="Times New Roman" w:cs="Times New Roman"/>
          <w:lang w:val="id-ID"/>
        </w:rPr>
        <w:t xml:space="preserve"> </w:t>
      </w:r>
      <w:proofErr w:type="spellStart"/>
      <w:r w:rsidRPr="00C138DE">
        <w:rPr>
          <w:rFonts w:eastAsia="Times New Roman" w:cs="Times New Roman"/>
          <w:lang w:val="id-ID"/>
        </w:rPr>
        <w:t>early</w:t>
      </w:r>
      <w:proofErr w:type="spellEnd"/>
      <w:r w:rsidRPr="00C138DE">
        <w:rPr>
          <w:rFonts w:eastAsia="Times New Roman" w:cs="Times New Roman"/>
          <w:lang w:val="id-ID"/>
        </w:rPr>
        <w:t xml:space="preserve"> </w:t>
      </w:r>
      <w:proofErr w:type="spellStart"/>
      <w:r w:rsidRPr="00C138DE">
        <w:rPr>
          <w:rFonts w:eastAsia="Times New Roman" w:cs="Times New Roman"/>
          <w:lang w:val="id-ID"/>
        </w:rPr>
        <w:t>detection</w:t>
      </w:r>
      <w:proofErr w:type="spellEnd"/>
      <w:r w:rsidRPr="00C138DE">
        <w:rPr>
          <w:rFonts w:eastAsia="Times New Roman" w:cs="Times New Roman"/>
          <w:lang w:val="id-ID"/>
        </w:rPr>
        <w:t xml:space="preserve"> </w:t>
      </w:r>
      <w:proofErr w:type="spellStart"/>
      <w:r w:rsidRPr="00C138DE">
        <w:rPr>
          <w:rFonts w:eastAsia="Times New Roman" w:cs="Times New Roman"/>
          <w:lang w:val="id-ID"/>
        </w:rPr>
        <w:t>opens</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door</w:t>
      </w:r>
      <w:proofErr w:type="spellEnd"/>
      <w:r w:rsidRPr="00C138DE">
        <w:rPr>
          <w:rFonts w:eastAsia="Times New Roman" w:cs="Times New Roman"/>
          <w:lang w:val="id-ID"/>
        </w:rPr>
        <w:t xml:space="preserve"> </w:t>
      </w:r>
      <w:proofErr w:type="spellStart"/>
      <w:r w:rsidRPr="00C138DE">
        <w:rPr>
          <w:rFonts w:eastAsia="Times New Roman" w:cs="Times New Roman"/>
          <w:lang w:val="id-ID"/>
        </w:rPr>
        <w:t>to</w:t>
      </w:r>
      <w:proofErr w:type="spellEnd"/>
      <w:r w:rsidRPr="00C138DE">
        <w:rPr>
          <w:rFonts w:eastAsia="Times New Roman" w:cs="Times New Roman"/>
          <w:lang w:val="id-ID"/>
        </w:rPr>
        <w:t xml:space="preserve"> </w:t>
      </w:r>
      <w:proofErr w:type="spellStart"/>
      <w:r w:rsidRPr="00C138DE">
        <w:rPr>
          <w:rFonts w:eastAsia="Times New Roman" w:cs="Times New Roman"/>
          <w:lang w:val="id-ID"/>
        </w:rPr>
        <w:t>individualized</w:t>
      </w:r>
      <w:proofErr w:type="spellEnd"/>
      <w:r w:rsidRPr="00C138DE">
        <w:rPr>
          <w:rFonts w:eastAsia="Times New Roman" w:cs="Times New Roman"/>
          <w:lang w:val="id-ID"/>
        </w:rPr>
        <w:t xml:space="preserve"> </w:t>
      </w:r>
      <w:proofErr w:type="spellStart"/>
      <w:r w:rsidRPr="00C138DE">
        <w:rPr>
          <w:rFonts w:eastAsia="Times New Roman" w:cs="Times New Roman"/>
          <w:lang w:val="id-ID"/>
        </w:rPr>
        <w:t>prevention</w:t>
      </w:r>
      <w:proofErr w:type="spellEnd"/>
      <w:r w:rsidRPr="00C138DE">
        <w:rPr>
          <w:rFonts w:eastAsia="Times New Roman" w:cs="Times New Roman"/>
          <w:lang w:val="id-ID"/>
        </w:rPr>
        <w:t xml:space="preserve"> </w:t>
      </w:r>
      <w:proofErr w:type="spellStart"/>
      <w:r w:rsidRPr="00C138DE">
        <w:rPr>
          <w:rFonts w:eastAsia="Times New Roman" w:cs="Times New Roman"/>
          <w:lang w:val="id-ID"/>
        </w:rPr>
        <w:t>packages</w:t>
      </w:r>
      <w:proofErr w:type="spellEnd"/>
      <w:r w:rsidRPr="00C138DE">
        <w:rPr>
          <w:rFonts w:eastAsia="Times New Roman" w:cs="Times New Roman"/>
          <w:lang w:val="id-ID"/>
        </w:rPr>
        <w:t xml:space="preserve"> </w:t>
      </w:r>
      <w:proofErr w:type="spellStart"/>
      <w:r w:rsidRPr="00C138DE">
        <w:rPr>
          <w:rFonts w:eastAsia="Times New Roman" w:cs="Times New Roman"/>
          <w:lang w:val="id-ID"/>
        </w:rPr>
        <w:t>comprising</w:t>
      </w:r>
      <w:proofErr w:type="spellEnd"/>
      <w:r w:rsidRPr="00C138DE">
        <w:rPr>
          <w:rFonts w:eastAsia="Times New Roman" w:cs="Times New Roman"/>
          <w:lang w:val="id-ID"/>
        </w:rPr>
        <w:t xml:space="preserve"> </w:t>
      </w:r>
      <w:proofErr w:type="spellStart"/>
      <w:r w:rsidRPr="00C138DE">
        <w:rPr>
          <w:rFonts w:eastAsia="Times New Roman" w:cs="Times New Roman"/>
          <w:lang w:val="id-ID"/>
        </w:rPr>
        <w:t>dietary</w:t>
      </w:r>
      <w:proofErr w:type="spellEnd"/>
      <w:r w:rsidRPr="00C138DE">
        <w:rPr>
          <w:rFonts w:eastAsia="Times New Roman" w:cs="Times New Roman"/>
          <w:lang w:val="id-ID"/>
        </w:rPr>
        <w:t xml:space="preserve"> </w:t>
      </w:r>
      <w:proofErr w:type="spellStart"/>
      <w:r w:rsidRPr="00C138DE">
        <w:rPr>
          <w:rFonts w:eastAsia="Times New Roman" w:cs="Times New Roman"/>
          <w:lang w:val="id-ID"/>
        </w:rPr>
        <w:t>optimization</w:t>
      </w:r>
      <w:proofErr w:type="spellEnd"/>
      <w:r w:rsidRPr="00C138DE">
        <w:rPr>
          <w:rFonts w:eastAsia="Times New Roman" w:cs="Times New Roman"/>
          <w:lang w:val="id-ID"/>
        </w:rPr>
        <w:t xml:space="preserve">, </w:t>
      </w:r>
      <w:proofErr w:type="spellStart"/>
      <w:r w:rsidRPr="00C138DE">
        <w:rPr>
          <w:rFonts w:eastAsia="Times New Roman" w:cs="Times New Roman"/>
          <w:lang w:val="id-ID"/>
        </w:rPr>
        <w:t>graded</w:t>
      </w:r>
      <w:proofErr w:type="spellEnd"/>
      <w:r w:rsidRPr="00C138DE">
        <w:rPr>
          <w:rFonts w:eastAsia="Times New Roman" w:cs="Times New Roman"/>
          <w:lang w:val="id-ID"/>
        </w:rPr>
        <w:t xml:space="preserve"> </w:t>
      </w:r>
      <w:proofErr w:type="spellStart"/>
      <w:r w:rsidRPr="00C138DE">
        <w:rPr>
          <w:rFonts w:eastAsia="Times New Roman" w:cs="Times New Roman"/>
          <w:lang w:val="id-ID"/>
        </w:rPr>
        <w:t>resistance</w:t>
      </w:r>
      <w:proofErr w:type="spellEnd"/>
      <w:r w:rsidRPr="00C138DE">
        <w:rPr>
          <w:rFonts w:eastAsia="Times New Roman" w:cs="Times New Roman"/>
          <w:lang w:val="id-ID"/>
        </w:rPr>
        <w:t xml:space="preserve"> </w:t>
      </w:r>
      <w:proofErr w:type="spellStart"/>
      <w:r w:rsidRPr="00C138DE">
        <w:rPr>
          <w:rFonts w:eastAsia="Times New Roman" w:cs="Times New Roman"/>
          <w:lang w:val="id-ID"/>
        </w:rPr>
        <w:t>exercise</w:t>
      </w:r>
      <w:proofErr w:type="spellEnd"/>
      <w:r w:rsidRPr="00C138DE">
        <w:rPr>
          <w:rFonts w:eastAsia="Times New Roman" w:cs="Times New Roman"/>
          <w:lang w:val="id-ID"/>
        </w:rPr>
        <w:t xml:space="preserve">, </w:t>
      </w:r>
      <w:proofErr w:type="spellStart"/>
      <w:r w:rsidRPr="00C138DE">
        <w:rPr>
          <w:rFonts w:eastAsia="Times New Roman" w:cs="Times New Roman"/>
          <w:lang w:val="id-ID"/>
        </w:rPr>
        <w:t>and</w:t>
      </w:r>
      <w:proofErr w:type="spellEnd"/>
      <w:r w:rsidRPr="00C138DE">
        <w:rPr>
          <w:rFonts w:eastAsia="Times New Roman" w:cs="Times New Roman"/>
          <w:lang w:val="id-ID"/>
        </w:rPr>
        <w:t xml:space="preserve"> </w:t>
      </w:r>
      <w:proofErr w:type="spellStart"/>
      <w:r w:rsidRPr="00C138DE">
        <w:rPr>
          <w:rFonts w:eastAsia="Times New Roman" w:cs="Times New Roman"/>
          <w:lang w:val="id-ID"/>
        </w:rPr>
        <w:t>tighter</w:t>
      </w:r>
      <w:proofErr w:type="spellEnd"/>
      <w:r w:rsidRPr="00C138DE">
        <w:rPr>
          <w:rFonts w:eastAsia="Times New Roman" w:cs="Times New Roman"/>
          <w:lang w:val="id-ID"/>
        </w:rPr>
        <w:t xml:space="preserve"> </w:t>
      </w:r>
      <w:proofErr w:type="spellStart"/>
      <w:r w:rsidRPr="00C138DE">
        <w:rPr>
          <w:rFonts w:eastAsia="Times New Roman" w:cs="Times New Roman"/>
          <w:lang w:val="id-ID"/>
        </w:rPr>
        <w:t>glycemic</w:t>
      </w:r>
      <w:proofErr w:type="spellEnd"/>
      <w:r w:rsidRPr="00C138DE">
        <w:rPr>
          <w:rFonts w:eastAsia="Times New Roman" w:cs="Times New Roman"/>
          <w:lang w:val="id-ID"/>
        </w:rPr>
        <w:t xml:space="preserve"> </w:t>
      </w:r>
      <w:proofErr w:type="spellStart"/>
      <w:r w:rsidRPr="00C138DE">
        <w:rPr>
          <w:rFonts w:eastAsia="Times New Roman" w:cs="Times New Roman"/>
          <w:lang w:val="id-ID"/>
        </w:rPr>
        <w:t>regulation</w:t>
      </w:r>
      <w:proofErr w:type="spellEnd"/>
      <w:r w:rsidRPr="00C138DE">
        <w:rPr>
          <w:rFonts w:eastAsia="Times New Roman" w:cs="Times New Roman"/>
          <w:lang w:val="id-ID"/>
        </w:rPr>
        <w:t xml:space="preserve">, </w:t>
      </w:r>
      <w:proofErr w:type="spellStart"/>
      <w:r w:rsidRPr="00C138DE">
        <w:rPr>
          <w:rFonts w:eastAsia="Times New Roman" w:cs="Times New Roman"/>
          <w:lang w:val="id-ID"/>
        </w:rPr>
        <w:t>measures</w:t>
      </w:r>
      <w:proofErr w:type="spellEnd"/>
      <w:r w:rsidRPr="00C138DE">
        <w:rPr>
          <w:rFonts w:eastAsia="Times New Roman" w:cs="Times New Roman"/>
          <w:lang w:val="id-ID"/>
        </w:rPr>
        <w:t xml:space="preserve"> </w:t>
      </w:r>
      <w:proofErr w:type="spellStart"/>
      <w:r w:rsidRPr="00C138DE">
        <w:rPr>
          <w:rFonts w:eastAsia="Times New Roman" w:cs="Times New Roman"/>
          <w:lang w:val="id-ID"/>
        </w:rPr>
        <w:t>capable</w:t>
      </w:r>
      <w:proofErr w:type="spellEnd"/>
      <w:r w:rsidRPr="00C138DE">
        <w:rPr>
          <w:rFonts w:eastAsia="Times New Roman" w:cs="Times New Roman"/>
          <w:lang w:val="id-ID"/>
        </w:rPr>
        <w:t xml:space="preserve"> </w:t>
      </w:r>
      <w:proofErr w:type="spellStart"/>
      <w:r w:rsidRPr="00C138DE">
        <w:rPr>
          <w:rFonts w:eastAsia="Times New Roman" w:cs="Times New Roman"/>
          <w:lang w:val="id-ID"/>
        </w:rPr>
        <w:t>of</w:t>
      </w:r>
      <w:proofErr w:type="spellEnd"/>
      <w:r w:rsidRPr="00C138DE">
        <w:rPr>
          <w:rFonts w:eastAsia="Times New Roman" w:cs="Times New Roman"/>
          <w:lang w:val="id-ID"/>
        </w:rPr>
        <w:t xml:space="preserve"> </w:t>
      </w:r>
      <w:proofErr w:type="spellStart"/>
      <w:r w:rsidRPr="00C138DE">
        <w:rPr>
          <w:rFonts w:eastAsia="Times New Roman" w:cs="Times New Roman"/>
          <w:lang w:val="id-ID"/>
        </w:rPr>
        <w:t>disrupting</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progression</w:t>
      </w:r>
      <w:proofErr w:type="spellEnd"/>
      <w:r w:rsidRPr="00C138DE">
        <w:rPr>
          <w:rFonts w:eastAsia="Times New Roman" w:cs="Times New Roman"/>
          <w:lang w:val="id-ID"/>
        </w:rPr>
        <w:t xml:space="preserve"> </w:t>
      </w:r>
      <w:proofErr w:type="spellStart"/>
      <w:r w:rsidRPr="00C138DE">
        <w:rPr>
          <w:rFonts w:eastAsia="Times New Roman" w:cs="Times New Roman"/>
          <w:lang w:val="id-ID"/>
        </w:rPr>
        <w:t>toward</w:t>
      </w:r>
      <w:proofErr w:type="spellEnd"/>
      <w:r w:rsidRPr="00C138DE">
        <w:rPr>
          <w:rFonts w:eastAsia="Times New Roman" w:cs="Times New Roman"/>
          <w:lang w:val="id-ID"/>
        </w:rPr>
        <w:t xml:space="preserve"> </w:t>
      </w:r>
      <w:proofErr w:type="spellStart"/>
      <w:r w:rsidRPr="00C138DE">
        <w:rPr>
          <w:rFonts w:eastAsia="Times New Roman" w:cs="Times New Roman"/>
          <w:lang w:val="id-ID"/>
        </w:rPr>
        <w:t>dementia</w:t>
      </w:r>
      <w:proofErr w:type="spellEnd"/>
      <w:r w:rsidRPr="00C138DE">
        <w:rPr>
          <w:rFonts w:eastAsia="Times New Roman" w:cs="Times New Roman"/>
          <w:lang w:val="id-ID"/>
        </w:rPr>
        <w:t xml:space="preserve">, </w:t>
      </w:r>
      <w:proofErr w:type="spellStart"/>
      <w:r w:rsidRPr="00C138DE">
        <w:rPr>
          <w:rFonts w:eastAsia="Times New Roman" w:cs="Times New Roman"/>
          <w:lang w:val="id-ID"/>
        </w:rPr>
        <w:t>functional</w:t>
      </w:r>
      <w:proofErr w:type="spellEnd"/>
      <w:r w:rsidRPr="00C138DE">
        <w:rPr>
          <w:rFonts w:eastAsia="Times New Roman" w:cs="Times New Roman"/>
          <w:lang w:val="id-ID"/>
        </w:rPr>
        <w:t xml:space="preserve"> </w:t>
      </w:r>
      <w:proofErr w:type="spellStart"/>
      <w:r w:rsidRPr="00C138DE">
        <w:rPr>
          <w:rFonts w:eastAsia="Times New Roman" w:cs="Times New Roman"/>
          <w:lang w:val="id-ID"/>
        </w:rPr>
        <w:t>dependency</w:t>
      </w:r>
      <w:proofErr w:type="spellEnd"/>
      <w:r w:rsidRPr="00C138DE">
        <w:rPr>
          <w:rFonts w:eastAsia="Times New Roman" w:cs="Times New Roman"/>
          <w:lang w:val="id-ID"/>
        </w:rPr>
        <w:t xml:space="preserve">, </w:t>
      </w:r>
      <w:proofErr w:type="spellStart"/>
      <w:r w:rsidRPr="00C138DE">
        <w:rPr>
          <w:rFonts w:eastAsia="Times New Roman" w:cs="Times New Roman"/>
          <w:lang w:val="id-ID"/>
        </w:rPr>
        <w:t>and</w:t>
      </w:r>
      <w:proofErr w:type="spellEnd"/>
      <w:r w:rsidRPr="00C138DE">
        <w:rPr>
          <w:rFonts w:eastAsia="Times New Roman" w:cs="Times New Roman"/>
          <w:lang w:val="id-ID"/>
        </w:rPr>
        <w:t xml:space="preserve"> </w:t>
      </w:r>
      <w:proofErr w:type="spellStart"/>
      <w:r w:rsidRPr="00C138DE">
        <w:rPr>
          <w:rFonts w:eastAsia="Times New Roman" w:cs="Times New Roman"/>
          <w:lang w:val="id-ID"/>
        </w:rPr>
        <w:t>excess</w:t>
      </w:r>
      <w:proofErr w:type="spellEnd"/>
      <w:r w:rsidRPr="00C138DE">
        <w:rPr>
          <w:rFonts w:eastAsia="Times New Roman" w:cs="Times New Roman"/>
          <w:lang w:val="id-ID"/>
        </w:rPr>
        <w:t xml:space="preserve"> </w:t>
      </w:r>
      <w:proofErr w:type="spellStart"/>
      <w:r w:rsidRPr="00C138DE">
        <w:rPr>
          <w:rFonts w:eastAsia="Times New Roman" w:cs="Times New Roman"/>
          <w:lang w:val="id-ID"/>
        </w:rPr>
        <w:t>mortality</w:t>
      </w:r>
      <w:proofErr w:type="spellEnd"/>
      <w:r w:rsidRPr="00C138DE">
        <w:rPr>
          <w:rFonts w:eastAsia="Times New Roman" w:cs="Times New Roman"/>
          <w:lang w:val="id-ID"/>
        </w:rPr>
        <w:t xml:space="preserve"> </w:t>
      </w:r>
      <w:hyperlink w:anchor="Tamura" w:history="1">
        <w:r w:rsidRPr="00C138DE">
          <w:rPr>
            <w:rStyle w:val="Hyperlink"/>
            <w:rFonts w:eastAsia="Times New Roman" w:cs="Times New Roman"/>
            <w:u w:val="none"/>
            <w:lang w:val="id-ID"/>
          </w:rPr>
          <w:t>(</w:t>
        </w:r>
        <w:proofErr w:type="spellStart"/>
        <w:r w:rsidRPr="00C138DE">
          <w:rPr>
            <w:rStyle w:val="Hyperlink"/>
            <w:rFonts w:eastAsia="Times New Roman" w:cs="Times New Roman"/>
            <w:u w:val="none"/>
            <w:lang w:val="id-ID"/>
          </w:rPr>
          <w:t>Tamura</w:t>
        </w:r>
        <w:proofErr w:type="spellEnd"/>
        <w:r w:rsidRPr="00C138DE">
          <w:rPr>
            <w:rStyle w:val="Hyperlink"/>
            <w:rFonts w:eastAsia="Times New Roman" w:cs="Times New Roman"/>
            <w:u w:val="none"/>
            <w:lang w:val="id-ID"/>
          </w:rPr>
          <w:t xml:space="preserve"> </w:t>
        </w:r>
        <w:proofErr w:type="spellStart"/>
        <w:r w:rsidRPr="00C138DE">
          <w:rPr>
            <w:rStyle w:val="Hyperlink"/>
            <w:rFonts w:eastAsia="Times New Roman" w:cs="Times New Roman"/>
            <w:u w:val="none"/>
            <w:lang w:val="id-ID"/>
          </w:rPr>
          <w:t>et</w:t>
        </w:r>
        <w:proofErr w:type="spellEnd"/>
        <w:r w:rsidRPr="00C138DE">
          <w:rPr>
            <w:rStyle w:val="Hyperlink"/>
            <w:rFonts w:eastAsia="Times New Roman" w:cs="Times New Roman"/>
            <w:u w:val="none"/>
            <w:lang w:val="id-ID"/>
          </w:rPr>
          <w:t xml:space="preserve"> </w:t>
        </w:r>
        <w:proofErr w:type="spellStart"/>
        <w:r w:rsidRPr="00C138DE">
          <w:rPr>
            <w:rStyle w:val="Hyperlink"/>
            <w:rFonts w:eastAsia="Times New Roman" w:cs="Times New Roman"/>
            <w:u w:val="none"/>
            <w:lang w:val="id-ID"/>
          </w:rPr>
          <w:t>al.</w:t>
        </w:r>
        <w:proofErr w:type="spellEnd"/>
        <w:r w:rsidRPr="00C138DE">
          <w:rPr>
            <w:rStyle w:val="Hyperlink"/>
            <w:rFonts w:eastAsia="Times New Roman" w:cs="Times New Roman"/>
            <w:u w:val="none"/>
            <w:lang w:val="id-ID"/>
          </w:rPr>
          <w:t>, 2020)</w:t>
        </w:r>
      </w:hyperlink>
      <w:r w:rsidRPr="00C138DE">
        <w:rPr>
          <w:rFonts w:eastAsia="Times New Roman" w:cs="Times New Roman"/>
          <w:lang w:val="id-ID"/>
        </w:rPr>
        <w:t xml:space="preserve">. </w:t>
      </w:r>
      <w:proofErr w:type="spellStart"/>
      <w:r w:rsidRPr="00C138DE">
        <w:rPr>
          <w:rFonts w:eastAsia="Times New Roman" w:cs="Times New Roman"/>
          <w:lang w:val="id-ID"/>
        </w:rPr>
        <w:t>Additional</w:t>
      </w:r>
      <w:proofErr w:type="spellEnd"/>
      <w:r w:rsidRPr="00C138DE">
        <w:rPr>
          <w:rFonts w:eastAsia="Times New Roman" w:cs="Times New Roman"/>
          <w:lang w:val="id-ID"/>
        </w:rPr>
        <w:t xml:space="preserve"> </w:t>
      </w:r>
      <w:proofErr w:type="spellStart"/>
      <w:r w:rsidRPr="00C138DE">
        <w:rPr>
          <w:rFonts w:eastAsia="Times New Roman" w:cs="Times New Roman"/>
          <w:lang w:val="id-ID"/>
        </w:rPr>
        <w:t>support</w:t>
      </w:r>
      <w:proofErr w:type="spellEnd"/>
      <w:r w:rsidRPr="00C138DE">
        <w:rPr>
          <w:rFonts w:eastAsia="Times New Roman" w:cs="Times New Roman"/>
          <w:lang w:val="id-ID"/>
        </w:rPr>
        <w:t xml:space="preserve"> </w:t>
      </w:r>
      <w:proofErr w:type="spellStart"/>
      <w:r w:rsidRPr="00C138DE">
        <w:rPr>
          <w:rFonts w:eastAsia="Times New Roman" w:cs="Times New Roman"/>
          <w:lang w:val="id-ID"/>
        </w:rPr>
        <w:t>for</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modifiability</w:t>
      </w:r>
      <w:proofErr w:type="spellEnd"/>
      <w:r w:rsidRPr="00C138DE">
        <w:rPr>
          <w:rFonts w:eastAsia="Times New Roman" w:cs="Times New Roman"/>
          <w:lang w:val="id-ID"/>
        </w:rPr>
        <w:t xml:space="preserve"> </w:t>
      </w:r>
      <w:proofErr w:type="spellStart"/>
      <w:r w:rsidRPr="00C138DE">
        <w:rPr>
          <w:rFonts w:eastAsia="Times New Roman" w:cs="Times New Roman"/>
          <w:lang w:val="id-ID"/>
        </w:rPr>
        <w:t>of</w:t>
      </w:r>
      <w:proofErr w:type="spellEnd"/>
      <w:r w:rsidRPr="00C138DE">
        <w:rPr>
          <w:rFonts w:eastAsia="Times New Roman" w:cs="Times New Roman"/>
          <w:lang w:val="id-ID"/>
        </w:rPr>
        <w:t xml:space="preserve"> </w:t>
      </w:r>
      <w:proofErr w:type="spellStart"/>
      <w:r w:rsidRPr="00C138DE">
        <w:rPr>
          <w:rFonts w:eastAsia="Times New Roman" w:cs="Times New Roman"/>
          <w:lang w:val="id-ID"/>
        </w:rPr>
        <w:t>cognitive</w:t>
      </w:r>
      <w:proofErr w:type="spellEnd"/>
      <w:r w:rsidRPr="00C138DE">
        <w:rPr>
          <w:rFonts w:eastAsia="Times New Roman" w:cs="Times New Roman"/>
          <w:lang w:val="id-ID"/>
        </w:rPr>
        <w:t xml:space="preserve"> </w:t>
      </w:r>
      <w:proofErr w:type="spellStart"/>
      <w:r w:rsidRPr="00C138DE">
        <w:rPr>
          <w:rFonts w:eastAsia="Times New Roman" w:cs="Times New Roman"/>
          <w:lang w:val="id-ID"/>
        </w:rPr>
        <w:t>frailty</w:t>
      </w:r>
      <w:proofErr w:type="spellEnd"/>
      <w:r w:rsidRPr="00C138DE">
        <w:rPr>
          <w:rFonts w:eastAsia="Times New Roman" w:cs="Times New Roman"/>
          <w:lang w:val="id-ID"/>
        </w:rPr>
        <w:t xml:space="preserve"> </w:t>
      </w:r>
      <w:proofErr w:type="spellStart"/>
      <w:r w:rsidRPr="00C138DE">
        <w:rPr>
          <w:rFonts w:eastAsia="Times New Roman" w:cs="Times New Roman"/>
          <w:lang w:val="id-ID"/>
        </w:rPr>
        <w:t>trajectories</w:t>
      </w:r>
      <w:proofErr w:type="spellEnd"/>
      <w:r w:rsidRPr="00C138DE">
        <w:rPr>
          <w:rFonts w:eastAsia="Times New Roman" w:cs="Times New Roman"/>
          <w:lang w:val="id-ID"/>
        </w:rPr>
        <w:t xml:space="preserve"> </w:t>
      </w:r>
      <w:proofErr w:type="spellStart"/>
      <w:r w:rsidRPr="00C138DE">
        <w:rPr>
          <w:rFonts w:eastAsia="Times New Roman" w:cs="Times New Roman"/>
          <w:lang w:val="id-ID"/>
        </w:rPr>
        <w:t>comes</w:t>
      </w:r>
      <w:proofErr w:type="spellEnd"/>
      <w:r w:rsidRPr="00C138DE">
        <w:rPr>
          <w:rFonts w:eastAsia="Times New Roman" w:cs="Times New Roman"/>
          <w:lang w:val="id-ID"/>
        </w:rPr>
        <w:t xml:space="preserve"> </w:t>
      </w:r>
      <w:proofErr w:type="spellStart"/>
      <w:r w:rsidRPr="00C138DE">
        <w:rPr>
          <w:rFonts w:eastAsia="Times New Roman" w:cs="Times New Roman"/>
          <w:lang w:val="id-ID"/>
        </w:rPr>
        <w:t>from</w:t>
      </w:r>
      <w:proofErr w:type="spellEnd"/>
      <w:r w:rsidRPr="00C138DE">
        <w:rPr>
          <w:rFonts w:eastAsia="Times New Roman" w:cs="Times New Roman"/>
          <w:lang w:val="id-ID"/>
        </w:rPr>
        <w:t xml:space="preserve"> </w:t>
      </w:r>
      <w:proofErr w:type="spellStart"/>
      <w:r w:rsidRPr="00C138DE">
        <w:rPr>
          <w:rFonts w:eastAsia="Times New Roman" w:cs="Times New Roman"/>
          <w:lang w:val="id-ID"/>
        </w:rPr>
        <w:t>randomized</w:t>
      </w:r>
      <w:proofErr w:type="spellEnd"/>
      <w:r w:rsidRPr="00C138DE">
        <w:rPr>
          <w:rFonts w:eastAsia="Times New Roman" w:cs="Times New Roman"/>
          <w:lang w:val="id-ID"/>
        </w:rPr>
        <w:t xml:space="preserve"> </w:t>
      </w:r>
      <w:proofErr w:type="spellStart"/>
      <w:r w:rsidRPr="00C138DE">
        <w:rPr>
          <w:rFonts w:eastAsia="Times New Roman" w:cs="Times New Roman"/>
          <w:lang w:val="id-ID"/>
        </w:rPr>
        <w:t>evidence</w:t>
      </w:r>
      <w:proofErr w:type="spellEnd"/>
      <w:r w:rsidRPr="00C138DE">
        <w:rPr>
          <w:rFonts w:eastAsia="Times New Roman" w:cs="Times New Roman"/>
          <w:lang w:val="id-ID"/>
        </w:rPr>
        <w:t xml:space="preserve"> </w:t>
      </w:r>
      <w:proofErr w:type="spellStart"/>
      <w:r w:rsidRPr="00C138DE">
        <w:rPr>
          <w:rFonts w:eastAsia="Times New Roman" w:cs="Times New Roman"/>
          <w:lang w:val="id-ID"/>
        </w:rPr>
        <w:t>generated</w:t>
      </w:r>
      <w:proofErr w:type="spellEnd"/>
      <w:r w:rsidRPr="00C138DE">
        <w:rPr>
          <w:rFonts w:eastAsia="Times New Roman" w:cs="Times New Roman"/>
          <w:lang w:val="id-ID"/>
        </w:rPr>
        <w:t xml:space="preserve"> </w:t>
      </w:r>
      <w:proofErr w:type="spellStart"/>
      <w:r w:rsidRPr="00C138DE">
        <w:rPr>
          <w:rFonts w:eastAsia="Times New Roman" w:cs="Times New Roman"/>
          <w:lang w:val="id-ID"/>
        </w:rPr>
        <w:t>by</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FINGER </w:t>
      </w:r>
      <w:proofErr w:type="spellStart"/>
      <w:r w:rsidRPr="00C138DE">
        <w:rPr>
          <w:rFonts w:eastAsia="Times New Roman" w:cs="Times New Roman"/>
          <w:lang w:val="id-ID"/>
        </w:rPr>
        <w:t>trial</w:t>
      </w:r>
      <w:proofErr w:type="spellEnd"/>
      <w:r w:rsidRPr="00C138DE">
        <w:rPr>
          <w:rFonts w:eastAsia="Times New Roman" w:cs="Times New Roman"/>
          <w:lang w:val="id-ID"/>
        </w:rPr>
        <w:t xml:space="preserve">, </w:t>
      </w:r>
      <w:proofErr w:type="spellStart"/>
      <w:r w:rsidRPr="00C138DE">
        <w:rPr>
          <w:rFonts w:eastAsia="Times New Roman" w:cs="Times New Roman"/>
          <w:lang w:val="id-ID"/>
        </w:rPr>
        <w:t>which</w:t>
      </w:r>
      <w:proofErr w:type="spellEnd"/>
      <w:r w:rsidRPr="00C138DE">
        <w:rPr>
          <w:rFonts w:eastAsia="Times New Roman" w:cs="Times New Roman"/>
          <w:lang w:val="id-ID"/>
        </w:rPr>
        <w:t xml:space="preserve"> </w:t>
      </w:r>
      <w:proofErr w:type="spellStart"/>
      <w:r w:rsidRPr="00C138DE">
        <w:rPr>
          <w:rFonts w:eastAsia="Times New Roman" w:cs="Times New Roman"/>
          <w:lang w:val="id-ID"/>
        </w:rPr>
        <w:t>showed</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that</w:t>
      </w:r>
      <w:proofErr w:type="spellEnd"/>
      <w:r w:rsidRPr="00C138DE">
        <w:rPr>
          <w:rFonts w:eastAsia="Times New Roman" w:cs="Times New Roman"/>
          <w:lang w:val="id-ID"/>
        </w:rPr>
        <w:t xml:space="preserve"> a </w:t>
      </w:r>
      <w:proofErr w:type="spellStart"/>
      <w:r w:rsidRPr="00C138DE">
        <w:rPr>
          <w:rFonts w:eastAsia="Times New Roman" w:cs="Times New Roman"/>
          <w:lang w:val="id-ID"/>
        </w:rPr>
        <w:t>structured</w:t>
      </w:r>
      <w:proofErr w:type="spellEnd"/>
      <w:r w:rsidRPr="00C138DE">
        <w:rPr>
          <w:rFonts w:eastAsia="Times New Roman" w:cs="Times New Roman"/>
          <w:lang w:val="id-ID"/>
        </w:rPr>
        <w:t xml:space="preserve"> </w:t>
      </w:r>
      <w:proofErr w:type="spellStart"/>
      <w:r w:rsidRPr="00C138DE">
        <w:rPr>
          <w:rFonts w:eastAsia="Times New Roman" w:cs="Times New Roman"/>
          <w:lang w:val="id-ID"/>
        </w:rPr>
        <w:t>multidomain</w:t>
      </w:r>
      <w:proofErr w:type="spellEnd"/>
      <w:r w:rsidRPr="00C138DE">
        <w:rPr>
          <w:rFonts w:eastAsia="Times New Roman" w:cs="Times New Roman"/>
          <w:lang w:val="id-ID"/>
        </w:rPr>
        <w:t xml:space="preserve"> </w:t>
      </w:r>
      <w:proofErr w:type="spellStart"/>
      <w:r w:rsidRPr="00C138DE">
        <w:rPr>
          <w:rFonts w:eastAsia="Times New Roman" w:cs="Times New Roman"/>
          <w:lang w:val="id-ID"/>
        </w:rPr>
        <w:t>lifestyle</w:t>
      </w:r>
      <w:proofErr w:type="spellEnd"/>
      <w:r w:rsidRPr="00C138DE">
        <w:rPr>
          <w:rFonts w:eastAsia="Times New Roman" w:cs="Times New Roman"/>
          <w:lang w:val="id-ID"/>
        </w:rPr>
        <w:t xml:space="preserve"> program </w:t>
      </w:r>
      <w:proofErr w:type="spellStart"/>
      <w:r w:rsidRPr="00C138DE">
        <w:rPr>
          <w:rFonts w:eastAsia="Times New Roman" w:cs="Times New Roman"/>
          <w:lang w:val="id-ID"/>
        </w:rPr>
        <w:t>can</w:t>
      </w:r>
      <w:proofErr w:type="spellEnd"/>
      <w:r w:rsidRPr="00C138DE">
        <w:rPr>
          <w:rFonts w:eastAsia="Times New Roman" w:cs="Times New Roman"/>
          <w:lang w:val="id-ID"/>
        </w:rPr>
        <w:t xml:space="preserve"> </w:t>
      </w:r>
      <w:proofErr w:type="spellStart"/>
      <w:r w:rsidRPr="00C138DE">
        <w:rPr>
          <w:rFonts w:eastAsia="Times New Roman" w:cs="Times New Roman"/>
          <w:lang w:val="id-ID"/>
        </w:rPr>
        <w:t>both</w:t>
      </w:r>
      <w:proofErr w:type="spellEnd"/>
      <w:r w:rsidRPr="00C138DE">
        <w:rPr>
          <w:rFonts w:eastAsia="Times New Roman" w:cs="Times New Roman"/>
          <w:lang w:val="id-ID"/>
        </w:rPr>
        <w:t xml:space="preserve"> </w:t>
      </w:r>
      <w:proofErr w:type="spellStart"/>
      <w:r w:rsidRPr="00C138DE">
        <w:rPr>
          <w:rFonts w:eastAsia="Times New Roman" w:cs="Times New Roman"/>
          <w:lang w:val="id-ID"/>
        </w:rPr>
        <w:t>prevent</w:t>
      </w:r>
      <w:proofErr w:type="spellEnd"/>
      <w:r w:rsidRPr="00C138DE">
        <w:rPr>
          <w:rFonts w:eastAsia="Times New Roman" w:cs="Times New Roman"/>
          <w:lang w:val="id-ID"/>
        </w:rPr>
        <w:t xml:space="preserve"> </w:t>
      </w:r>
      <w:proofErr w:type="spellStart"/>
      <w:r w:rsidRPr="00C138DE">
        <w:rPr>
          <w:rFonts w:eastAsia="Times New Roman" w:cs="Times New Roman"/>
          <w:lang w:val="id-ID"/>
        </w:rPr>
        <w:t>and</w:t>
      </w:r>
      <w:proofErr w:type="spellEnd"/>
      <w:r w:rsidRPr="00C138DE">
        <w:rPr>
          <w:rFonts w:eastAsia="Times New Roman" w:cs="Times New Roman"/>
          <w:lang w:val="id-ID"/>
        </w:rPr>
        <w:t xml:space="preserve"> </w:t>
      </w:r>
      <w:proofErr w:type="spellStart"/>
      <w:r w:rsidRPr="00C138DE">
        <w:rPr>
          <w:rFonts w:eastAsia="Times New Roman" w:cs="Times New Roman"/>
          <w:lang w:val="id-ID"/>
        </w:rPr>
        <w:t>reverse</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this</w:t>
      </w:r>
      <w:proofErr w:type="spellEnd"/>
      <w:r w:rsidRPr="00C138DE">
        <w:rPr>
          <w:rFonts w:eastAsia="Times New Roman" w:cs="Times New Roman"/>
          <w:lang w:val="id-ID"/>
        </w:rPr>
        <w:t xml:space="preserve"> </w:t>
      </w:r>
      <w:proofErr w:type="spellStart"/>
      <w:r w:rsidRPr="00C138DE">
        <w:rPr>
          <w:rFonts w:eastAsia="Times New Roman" w:cs="Times New Roman"/>
          <w:lang w:val="id-ID"/>
        </w:rPr>
        <w:t>condition</w:t>
      </w:r>
      <w:proofErr w:type="spellEnd"/>
      <w:r w:rsidRPr="00C138DE">
        <w:rPr>
          <w:rFonts w:eastAsia="Times New Roman" w:cs="Times New Roman"/>
          <w:lang w:val="id-ID"/>
        </w:rPr>
        <w:t xml:space="preserve"> </w:t>
      </w:r>
      <w:hyperlink w:anchor="Pöyhönen" w:history="1">
        <w:r w:rsidRPr="00C138DE">
          <w:rPr>
            <w:rStyle w:val="Hyperlink"/>
            <w:rFonts w:eastAsia="Times New Roman" w:cs="Times New Roman"/>
            <w:u w:val="none"/>
            <w:lang w:val="id-ID"/>
          </w:rPr>
          <w:t>(</w:t>
        </w:r>
        <w:proofErr w:type="spellStart"/>
        <w:r w:rsidRPr="00C138DE">
          <w:rPr>
            <w:rStyle w:val="Hyperlink"/>
            <w:rFonts w:eastAsia="Times New Roman" w:cs="Times New Roman"/>
            <w:u w:val="none"/>
            <w:lang w:val="id-ID"/>
          </w:rPr>
          <w:t>Pöyhönen</w:t>
        </w:r>
        <w:proofErr w:type="spellEnd"/>
        <w:r w:rsidRPr="00C138DE">
          <w:rPr>
            <w:rStyle w:val="Hyperlink"/>
            <w:rFonts w:eastAsia="Times New Roman" w:cs="Times New Roman"/>
            <w:u w:val="none"/>
            <w:lang w:val="id-ID"/>
          </w:rPr>
          <w:t xml:space="preserve"> </w:t>
        </w:r>
        <w:proofErr w:type="spellStart"/>
        <w:r w:rsidRPr="00C138DE">
          <w:rPr>
            <w:rStyle w:val="Hyperlink"/>
            <w:rFonts w:eastAsia="Times New Roman" w:cs="Times New Roman"/>
            <w:u w:val="none"/>
            <w:lang w:val="id-ID"/>
          </w:rPr>
          <w:t>et</w:t>
        </w:r>
        <w:proofErr w:type="spellEnd"/>
        <w:r w:rsidRPr="00C138DE">
          <w:rPr>
            <w:rStyle w:val="Hyperlink"/>
            <w:rFonts w:eastAsia="Times New Roman" w:cs="Times New Roman"/>
            <w:u w:val="none"/>
            <w:lang w:val="id-ID"/>
          </w:rPr>
          <w:t xml:space="preserve"> </w:t>
        </w:r>
        <w:proofErr w:type="spellStart"/>
        <w:r w:rsidRPr="00C138DE">
          <w:rPr>
            <w:rStyle w:val="Hyperlink"/>
            <w:rFonts w:eastAsia="Times New Roman" w:cs="Times New Roman"/>
            <w:u w:val="none"/>
            <w:lang w:val="id-ID"/>
          </w:rPr>
          <w:t>al.</w:t>
        </w:r>
        <w:proofErr w:type="spellEnd"/>
        <w:r w:rsidRPr="00C138DE">
          <w:rPr>
            <w:rStyle w:val="Hyperlink"/>
            <w:rFonts w:eastAsia="Times New Roman" w:cs="Times New Roman"/>
            <w:u w:val="none"/>
            <w:lang w:val="id-ID"/>
          </w:rPr>
          <w:t>, 2026)</w:t>
        </w:r>
      </w:hyperlink>
      <w:r w:rsidRPr="00C138DE">
        <w:rPr>
          <w:rFonts w:eastAsia="Times New Roman" w:cs="Times New Roman"/>
          <w:lang w:val="id-ID"/>
        </w:rPr>
        <w:t>.</w:t>
      </w:r>
    </w:p>
    <w:p w14:paraId="32745EB5" w14:textId="5069094D" w:rsidR="00E24B88" w:rsidRPr="00C138DE" w:rsidRDefault="00E24B88" w:rsidP="00E24B88">
      <w:pPr>
        <w:ind w:left="284" w:right="288" w:firstLine="720"/>
        <w:jc w:val="both"/>
        <w:rPr>
          <w:rFonts w:eastAsia="Times New Roman" w:cs="Times New Roman"/>
          <w:lang w:val="id-ID"/>
        </w:rPr>
      </w:pPr>
      <w:r w:rsidRPr="00C138DE">
        <w:rPr>
          <w:rFonts w:eastAsia="Times New Roman" w:cs="Times New Roman"/>
          <w:lang w:val="id-ID"/>
        </w:rPr>
        <w:t xml:space="preserve">At 3.2%,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point</w:t>
      </w:r>
      <w:proofErr w:type="spellEnd"/>
      <w:r w:rsidRPr="00C138DE">
        <w:rPr>
          <w:rFonts w:eastAsia="Times New Roman" w:cs="Times New Roman"/>
          <w:lang w:val="id-ID"/>
        </w:rPr>
        <w:t xml:space="preserve"> </w:t>
      </w:r>
      <w:proofErr w:type="spellStart"/>
      <w:r w:rsidRPr="00C138DE">
        <w:rPr>
          <w:rFonts w:eastAsia="Times New Roman" w:cs="Times New Roman"/>
          <w:lang w:val="id-ID"/>
        </w:rPr>
        <w:t>prevalence</w:t>
      </w:r>
      <w:proofErr w:type="spellEnd"/>
      <w:r w:rsidRPr="00C138DE">
        <w:rPr>
          <w:rFonts w:eastAsia="Times New Roman" w:cs="Times New Roman"/>
          <w:lang w:val="id-ID"/>
        </w:rPr>
        <w:t xml:space="preserve"> </w:t>
      </w:r>
      <w:proofErr w:type="spellStart"/>
      <w:r w:rsidRPr="00C138DE">
        <w:rPr>
          <w:rFonts w:eastAsia="Times New Roman" w:cs="Times New Roman"/>
          <w:lang w:val="id-ID"/>
        </w:rPr>
        <w:t>of</w:t>
      </w:r>
      <w:proofErr w:type="spellEnd"/>
      <w:r w:rsidRPr="00C138DE">
        <w:rPr>
          <w:rFonts w:eastAsia="Times New Roman" w:cs="Times New Roman"/>
          <w:lang w:val="id-ID"/>
        </w:rPr>
        <w:t xml:space="preserve"> CF </w:t>
      </w:r>
      <w:proofErr w:type="spellStart"/>
      <w:r w:rsidRPr="00C138DE">
        <w:rPr>
          <w:rFonts w:eastAsia="Times New Roman" w:cs="Times New Roman"/>
          <w:lang w:val="id-ID"/>
        </w:rPr>
        <w:t>observed</w:t>
      </w:r>
      <w:proofErr w:type="spellEnd"/>
      <w:r w:rsidRPr="00C138DE">
        <w:rPr>
          <w:rFonts w:eastAsia="Times New Roman" w:cs="Times New Roman"/>
          <w:lang w:val="id-ID"/>
        </w:rPr>
        <w:t xml:space="preserve"> </w:t>
      </w:r>
      <w:proofErr w:type="spellStart"/>
      <w:r w:rsidRPr="00C138DE">
        <w:rPr>
          <w:rFonts w:eastAsia="Times New Roman" w:cs="Times New Roman"/>
          <w:lang w:val="id-ID"/>
        </w:rPr>
        <w:t>herein</w:t>
      </w:r>
      <w:proofErr w:type="spellEnd"/>
      <w:r w:rsidRPr="00C138DE">
        <w:rPr>
          <w:rFonts w:eastAsia="Times New Roman" w:cs="Times New Roman"/>
          <w:lang w:val="id-ID"/>
        </w:rPr>
        <w:t xml:space="preserve"> </w:t>
      </w:r>
      <w:proofErr w:type="spellStart"/>
      <w:r w:rsidRPr="00C138DE">
        <w:rPr>
          <w:rFonts w:eastAsia="Times New Roman" w:cs="Times New Roman"/>
          <w:lang w:val="id-ID"/>
        </w:rPr>
        <w:t>falls</w:t>
      </w:r>
      <w:proofErr w:type="spellEnd"/>
      <w:r w:rsidRPr="00C138DE">
        <w:rPr>
          <w:rFonts w:eastAsia="Times New Roman" w:cs="Times New Roman"/>
          <w:lang w:val="id-ID"/>
        </w:rPr>
        <w:t xml:space="preserve"> </w:t>
      </w:r>
      <w:proofErr w:type="spellStart"/>
      <w:r w:rsidRPr="00C138DE">
        <w:rPr>
          <w:rFonts w:eastAsia="Times New Roman" w:cs="Times New Roman"/>
          <w:lang w:val="id-ID"/>
        </w:rPr>
        <w:t>substantially</w:t>
      </w:r>
      <w:proofErr w:type="spellEnd"/>
      <w:r w:rsidRPr="00C138DE">
        <w:rPr>
          <w:rFonts w:eastAsia="Times New Roman" w:cs="Times New Roman"/>
          <w:lang w:val="id-ID"/>
        </w:rPr>
        <w:t xml:space="preserve"> </w:t>
      </w:r>
      <w:proofErr w:type="spellStart"/>
      <w:r w:rsidRPr="00C138DE">
        <w:rPr>
          <w:rFonts w:eastAsia="Times New Roman" w:cs="Times New Roman"/>
          <w:lang w:val="id-ID"/>
        </w:rPr>
        <w:t>below</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20% </w:t>
      </w:r>
      <w:proofErr w:type="spellStart"/>
      <w:r w:rsidRPr="00C138DE">
        <w:rPr>
          <w:rFonts w:eastAsia="Times New Roman" w:cs="Times New Roman"/>
          <w:lang w:val="id-ID"/>
        </w:rPr>
        <w:t>pooled</w:t>
      </w:r>
      <w:proofErr w:type="spellEnd"/>
      <w:r w:rsidRPr="00C138DE">
        <w:rPr>
          <w:rFonts w:eastAsia="Times New Roman" w:cs="Times New Roman"/>
          <w:lang w:val="id-ID"/>
        </w:rPr>
        <w:t xml:space="preserve"> </w:t>
      </w:r>
      <w:proofErr w:type="spellStart"/>
      <w:r w:rsidRPr="00C138DE">
        <w:rPr>
          <w:rFonts w:eastAsia="Times New Roman" w:cs="Times New Roman"/>
          <w:lang w:val="id-ID"/>
        </w:rPr>
        <w:t>figure</w:t>
      </w:r>
      <w:proofErr w:type="spellEnd"/>
      <w:r w:rsidRPr="00C138DE">
        <w:rPr>
          <w:rFonts w:eastAsia="Times New Roman" w:cs="Times New Roman"/>
          <w:lang w:val="id-ID"/>
        </w:rPr>
        <w:t xml:space="preserve"> </w:t>
      </w:r>
      <w:proofErr w:type="spellStart"/>
      <w:r w:rsidRPr="00C138DE">
        <w:rPr>
          <w:rFonts w:eastAsia="Times New Roman" w:cs="Times New Roman"/>
          <w:lang w:val="id-ID"/>
        </w:rPr>
        <w:t>reported</w:t>
      </w:r>
      <w:proofErr w:type="spellEnd"/>
      <w:r w:rsidRPr="00C138DE">
        <w:rPr>
          <w:rFonts w:eastAsia="Times New Roman" w:cs="Times New Roman"/>
          <w:lang w:val="id-ID"/>
        </w:rPr>
        <w:t xml:space="preserve"> in a </w:t>
      </w:r>
      <w:proofErr w:type="spellStart"/>
      <w:r w:rsidRPr="00C138DE">
        <w:rPr>
          <w:rFonts w:eastAsia="Times New Roman" w:cs="Times New Roman"/>
          <w:lang w:val="id-ID"/>
        </w:rPr>
        <w:t>contemporary</w:t>
      </w:r>
      <w:proofErr w:type="spellEnd"/>
      <w:r w:rsidRPr="00C138DE">
        <w:rPr>
          <w:rFonts w:eastAsia="Times New Roman" w:cs="Times New Roman"/>
          <w:lang w:val="id-ID"/>
        </w:rPr>
        <w:t xml:space="preserve"> meta-</w:t>
      </w:r>
      <w:proofErr w:type="spellStart"/>
      <w:r w:rsidRPr="00C138DE">
        <w:rPr>
          <w:rFonts w:eastAsia="Times New Roman" w:cs="Times New Roman"/>
          <w:lang w:val="id-ID"/>
        </w:rPr>
        <w:t>analysis</w:t>
      </w:r>
      <w:proofErr w:type="spellEnd"/>
      <w:r w:rsidRPr="00C138DE">
        <w:rPr>
          <w:rFonts w:eastAsia="Times New Roman" w:cs="Times New Roman"/>
          <w:lang w:val="id-ID"/>
        </w:rPr>
        <w:t xml:space="preserve"> </w:t>
      </w:r>
      <w:proofErr w:type="spellStart"/>
      <w:r w:rsidRPr="00C138DE">
        <w:rPr>
          <w:rFonts w:eastAsia="Times New Roman" w:cs="Times New Roman"/>
          <w:lang w:val="id-ID"/>
        </w:rPr>
        <w:t>restricted</w:t>
      </w:r>
      <w:proofErr w:type="spellEnd"/>
      <w:r w:rsidRPr="00C138DE">
        <w:rPr>
          <w:rFonts w:eastAsia="Times New Roman" w:cs="Times New Roman"/>
          <w:lang w:val="id-ID"/>
        </w:rPr>
        <w:t xml:space="preserve"> </w:t>
      </w:r>
      <w:proofErr w:type="spellStart"/>
      <w:r w:rsidRPr="00C138DE">
        <w:rPr>
          <w:rFonts w:eastAsia="Times New Roman" w:cs="Times New Roman"/>
          <w:lang w:val="id-ID"/>
        </w:rPr>
        <w:t>to</w:t>
      </w:r>
      <w:proofErr w:type="spellEnd"/>
      <w:r w:rsidRPr="00C138DE">
        <w:rPr>
          <w:rFonts w:eastAsia="Times New Roman" w:cs="Times New Roman"/>
          <w:lang w:val="id-ID"/>
        </w:rPr>
        <w:t xml:space="preserve"> </w:t>
      </w:r>
      <w:proofErr w:type="spellStart"/>
      <w:r w:rsidRPr="00C138DE">
        <w:rPr>
          <w:rFonts w:eastAsia="Times New Roman" w:cs="Times New Roman"/>
          <w:lang w:val="id-ID"/>
        </w:rPr>
        <w:t>older</w:t>
      </w:r>
      <w:proofErr w:type="spellEnd"/>
      <w:r w:rsidRPr="00C138DE">
        <w:rPr>
          <w:rFonts w:eastAsia="Times New Roman" w:cs="Times New Roman"/>
          <w:lang w:val="id-ID"/>
        </w:rPr>
        <w:t xml:space="preserve"> </w:t>
      </w:r>
      <w:proofErr w:type="spellStart"/>
      <w:r w:rsidRPr="00C138DE">
        <w:rPr>
          <w:rFonts w:eastAsia="Times New Roman" w:cs="Times New Roman"/>
          <w:lang w:val="id-ID"/>
        </w:rPr>
        <w:t>adult</w:t>
      </w:r>
      <w:proofErr w:type="spellEnd"/>
      <w:r w:rsidRPr="00C138DE">
        <w:rPr>
          <w:rFonts w:eastAsia="Times New Roman" w:cs="Times New Roman"/>
          <w:lang w:val="id-ID"/>
        </w:rPr>
        <w:t xml:space="preserve"> </w:t>
      </w:r>
      <w:proofErr w:type="spellStart"/>
      <w:r w:rsidRPr="00C138DE">
        <w:rPr>
          <w:rFonts w:eastAsia="Times New Roman" w:cs="Times New Roman"/>
          <w:lang w:val="id-ID"/>
        </w:rPr>
        <w:t>samples</w:t>
      </w:r>
      <w:proofErr w:type="spellEnd"/>
      <w:r w:rsidRPr="00C138DE">
        <w:rPr>
          <w:rFonts w:eastAsia="Times New Roman" w:cs="Times New Roman"/>
          <w:lang w:val="id-ID"/>
        </w:rPr>
        <w:t xml:space="preserve"> </w:t>
      </w:r>
      <w:hyperlink w:anchor="Bian" w:history="1">
        <w:r w:rsidR="005C1BB9" w:rsidRPr="00C138DE">
          <w:rPr>
            <w:rStyle w:val="Hyperlink"/>
            <w:rFonts w:eastAsia="Times New Roman" w:cs="Times New Roman"/>
            <w:u w:val="none"/>
            <w:lang w:val="id-ID"/>
          </w:rPr>
          <w:fldChar w:fldCharType="begin" w:fldLock="1"/>
        </w:r>
        <w:r w:rsidR="005C1BB9" w:rsidRPr="00C138DE">
          <w:rPr>
            <w:rStyle w:val="Hyperlink"/>
            <w:rFonts w:eastAsia="Times New Roman" w:cs="Times New Roman"/>
            <w:u w:val="none"/>
            <w:lang w:val="id-ID"/>
          </w:rPr>
          <w:instrText>ADDIN CSL_CITATION {"citationItems":[{"id":"ITEM-1","itemData":{"ISSN":"1079-5014","author":[{"dropping-particle":"","family":"Bian","given":"Jinwei","non-dropping-particle":"","parse-names":false,"suffix":""},{"dropping-particle":"","family":"Chen","given":"Zi","non-dropping-particle":"","parse-names":false,"suffix":""},{"dropping-particle":"","family":"Gao","given":"Ying","non-dropping-particle":"","parse-names":false,"suffix":""},{"dropping-particle":"","family":"Lau","given":"Fung Yee","non-dropping-particle":"","parse-names":false,"suffix":""},{"dropping-particle":"","family":"Fong","given":"Daniel Yee Tak","non-dropping-particle":"","parse-names":false,"suffix":""},{"dropping-particle":"","family":"Choi","given":"Edmond Pui Hang","non-dropping-particle":"","parse-names":false,"suffix":""},{"dropping-particle":"","family":"Chau","given":"Pui Hing","non-dropping-particle":"","parse-names":false,"suffix":""}],"container-title":"The Journals of Gerontology, Series B: Psychological Sciences and Social Sciences","id":"ITEM-1","issue":"1","issued":{"date-parts":[["2026"]]},"page":"gbaf228","publisher":"Oxford University Press","title":"Prevalence of cognitive frailty, reversible and potentially reversible cognitive frailty among older adults without dementia: a systematic review and meta-analysis","type":"article-journal","volume":"81"},"uris":["http://www.mendeley.com/documents/?uuid=d464d436-3b95-4b0d-b6f3-821dcbc70c1e"]}],"mendeley":{"formattedCitation":"(Bian et al., 2026)","plainTextFormattedCitation":"(Bian et al., 2026)","previouslyFormattedCitation":"(Bian et al., 2026)"},"properties":{"noteIndex":0},"schema":"https://github.com/citation-style-language/schema/raw/master/csl-citation.json"}</w:instrText>
        </w:r>
        <w:r w:rsidR="005C1BB9" w:rsidRPr="00C138DE">
          <w:rPr>
            <w:rStyle w:val="Hyperlink"/>
            <w:rFonts w:eastAsia="Times New Roman" w:cs="Times New Roman"/>
            <w:u w:val="none"/>
            <w:lang w:val="id-ID"/>
          </w:rPr>
          <w:fldChar w:fldCharType="separate"/>
        </w:r>
        <w:r w:rsidR="005C1BB9" w:rsidRPr="00C138DE">
          <w:rPr>
            <w:rStyle w:val="Hyperlink"/>
            <w:rFonts w:eastAsia="Times New Roman" w:cs="Times New Roman"/>
            <w:noProof/>
            <w:u w:val="none"/>
            <w:lang w:val="id-ID"/>
          </w:rPr>
          <w:t>(Bian et al., 2026)</w:t>
        </w:r>
        <w:r w:rsidR="005C1BB9" w:rsidRPr="00C138DE">
          <w:rPr>
            <w:rStyle w:val="Hyperlink"/>
            <w:rFonts w:eastAsia="Times New Roman" w:cs="Times New Roman"/>
            <w:u w:val="none"/>
            <w:lang w:val="id-ID"/>
          </w:rPr>
          <w:fldChar w:fldCharType="end"/>
        </w:r>
      </w:hyperlink>
      <w:r w:rsidRPr="00C138DE">
        <w:rPr>
          <w:rFonts w:eastAsia="Times New Roman" w:cs="Times New Roman"/>
          <w:lang w:val="id-ID"/>
        </w:rPr>
        <w:t xml:space="preserve">. The gap </w:t>
      </w:r>
      <w:proofErr w:type="spellStart"/>
      <w:r w:rsidRPr="00C138DE">
        <w:rPr>
          <w:rFonts w:eastAsia="Times New Roman" w:cs="Times New Roman"/>
          <w:lang w:val="id-ID"/>
        </w:rPr>
        <w:t>is</w:t>
      </w:r>
      <w:proofErr w:type="spellEnd"/>
      <w:r w:rsidRPr="00C138DE">
        <w:rPr>
          <w:rFonts w:eastAsia="Times New Roman" w:cs="Times New Roman"/>
          <w:lang w:val="id-ID"/>
        </w:rPr>
        <w:t xml:space="preserve"> </w:t>
      </w:r>
      <w:proofErr w:type="spellStart"/>
      <w:r w:rsidRPr="00C138DE">
        <w:rPr>
          <w:rFonts w:eastAsia="Times New Roman" w:cs="Times New Roman"/>
          <w:lang w:val="id-ID"/>
        </w:rPr>
        <w:t>most</w:t>
      </w:r>
      <w:proofErr w:type="spellEnd"/>
      <w:r w:rsidRPr="00C138DE">
        <w:rPr>
          <w:rFonts w:eastAsia="Times New Roman" w:cs="Times New Roman"/>
          <w:lang w:val="id-ID"/>
        </w:rPr>
        <w:t xml:space="preserve"> </w:t>
      </w:r>
      <w:proofErr w:type="spellStart"/>
      <w:r w:rsidRPr="00C138DE">
        <w:rPr>
          <w:rFonts w:eastAsia="Times New Roman" w:cs="Times New Roman"/>
          <w:lang w:val="id-ID"/>
        </w:rPr>
        <w:t>parsimoniously</w:t>
      </w:r>
      <w:proofErr w:type="spellEnd"/>
      <w:r w:rsidRPr="00C138DE">
        <w:rPr>
          <w:rFonts w:eastAsia="Times New Roman" w:cs="Times New Roman"/>
          <w:lang w:val="id-ID"/>
        </w:rPr>
        <w:t xml:space="preserve"> </w:t>
      </w:r>
      <w:proofErr w:type="spellStart"/>
      <w:r w:rsidRPr="00C138DE">
        <w:rPr>
          <w:rFonts w:eastAsia="Times New Roman" w:cs="Times New Roman"/>
          <w:lang w:val="id-ID"/>
        </w:rPr>
        <w:t>attributed</w:t>
      </w:r>
      <w:proofErr w:type="spellEnd"/>
      <w:r w:rsidRPr="00C138DE">
        <w:rPr>
          <w:rFonts w:eastAsia="Times New Roman" w:cs="Times New Roman"/>
          <w:lang w:val="id-ID"/>
        </w:rPr>
        <w:t xml:space="preserve"> </w:t>
      </w:r>
      <w:proofErr w:type="spellStart"/>
      <w:r w:rsidRPr="00C138DE">
        <w:rPr>
          <w:rFonts w:eastAsia="Times New Roman" w:cs="Times New Roman"/>
          <w:lang w:val="id-ID"/>
        </w:rPr>
        <w:t>to</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younger</w:t>
      </w:r>
      <w:proofErr w:type="spellEnd"/>
      <w:r w:rsidRPr="00C138DE">
        <w:rPr>
          <w:rFonts w:eastAsia="Times New Roman" w:cs="Times New Roman"/>
          <w:lang w:val="id-ID"/>
        </w:rPr>
        <w:t xml:space="preserve"> </w:t>
      </w:r>
      <w:proofErr w:type="spellStart"/>
      <w:r w:rsidRPr="00C138DE">
        <w:rPr>
          <w:rFonts w:eastAsia="Times New Roman" w:cs="Times New Roman"/>
          <w:lang w:val="id-ID"/>
        </w:rPr>
        <w:t>age</w:t>
      </w:r>
      <w:proofErr w:type="spellEnd"/>
      <w:r w:rsidRPr="00C138DE">
        <w:rPr>
          <w:rFonts w:eastAsia="Times New Roman" w:cs="Times New Roman"/>
          <w:lang w:val="id-ID"/>
        </w:rPr>
        <w:t xml:space="preserve"> </w:t>
      </w:r>
      <w:proofErr w:type="spellStart"/>
      <w:r w:rsidRPr="00C138DE">
        <w:rPr>
          <w:rFonts w:eastAsia="Times New Roman" w:cs="Times New Roman"/>
          <w:lang w:val="id-ID"/>
        </w:rPr>
        <w:t>distribution</w:t>
      </w:r>
      <w:proofErr w:type="spellEnd"/>
      <w:r w:rsidRPr="00C138DE">
        <w:rPr>
          <w:rFonts w:eastAsia="Times New Roman" w:cs="Times New Roman"/>
          <w:lang w:val="id-ID"/>
        </w:rPr>
        <w:t xml:space="preserve"> </w:t>
      </w:r>
      <w:proofErr w:type="spellStart"/>
      <w:r w:rsidRPr="00C138DE">
        <w:rPr>
          <w:rFonts w:eastAsia="Times New Roman" w:cs="Times New Roman"/>
          <w:lang w:val="id-ID"/>
        </w:rPr>
        <w:t>of</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present</w:t>
      </w:r>
      <w:proofErr w:type="spellEnd"/>
      <w:r w:rsidRPr="00C138DE">
        <w:rPr>
          <w:rFonts w:eastAsia="Times New Roman" w:cs="Times New Roman"/>
          <w:lang w:val="id-ID"/>
        </w:rPr>
        <w:t xml:space="preserve"> </w:t>
      </w:r>
      <w:proofErr w:type="spellStart"/>
      <w:r w:rsidRPr="00C138DE">
        <w:rPr>
          <w:rFonts w:eastAsia="Times New Roman" w:cs="Times New Roman"/>
          <w:lang w:val="id-ID"/>
        </w:rPr>
        <w:t>cohort</w:t>
      </w:r>
      <w:proofErr w:type="spellEnd"/>
      <w:r w:rsidRPr="00C138DE">
        <w:rPr>
          <w:rFonts w:eastAsia="Times New Roman" w:cs="Times New Roman"/>
          <w:lang w:val="id-ID"/>
        </w:rPr>
        <w:t xml:space="preserve"> (</w:t>
      </w:r>
      <w:proofErr w:type="spellStart"/>
      <w:r w:rsidRPr="00C138DE">
        <w:rPr>
          <w:rFonts w:eastAsia="Times New Roman" w:cs="Times New Roman"/>
          <w:lang w:val="id-ID"/>
        </w:rPr>
        <w:t>mean</w:t>
      </w:r>
      <w:proofErr w:type="spellEnd"/>
      <w:r w:rsidRPr="00C138DE">
        <w:rPr>
          <w:rFonts w:eastAsia="Times New Roman" w:cs="Times New Roman"/>
          <w:lang w:val="id-ID"/>
        </w:rPr>
        <w:t xml:space="preserve"> </w:t>
      </w:r>
      <w:proofErr w:type="spellStart"/>
      <w:r w:rsidRPr="00C138DE">
        <w:rPr>
          <w:rFonts w:eastAsia="Times New Roman" w:cs="Times New Roman"/>
          <w:lang w:val="id-ID"/>
        </w:rPr>
        <w:t>age</w:t>
      </w:r>
      <w:proofErr w:type="spellEnd"/>
      <w:r w:rsidRPr="00C138DE">
        <w:rPr>
          <w:rFonts w:eastAsia="Times New Roman" w:cs="Times New Roman"/>
          <w:lang w:val="id-ID"/>
        </w:rPr>
        <w:t xml:space="preserve"> 60 </w:t>
      </w:r>
      <w:proofErr w:type="spellStart"/>
      <w:r w:rsidRPr="00C138DE">
        <w:rPr>
          <w:rFonts w:eastAsia="Times New Roman" w:cs="Times New Roman"/>
          <w:lang w:val="id-ID"/>
        </w:rPr>
        <w:t>years</w:t>
      </w:r>
      <w:proofErr w:type="spellEnd"/>
      <w:r w:rsidRPr="00C138DE">
        <w:rPr>
          <w:rFonts w:eastAsia="Times New Roman" w:cs="Times New Roman"/>
          <w:lang w:val="id-ID"/>
        </w:rPr>
        <w:t xml:space="preserve">) </w:t>
      </w:r>
      <w:proofErr w:type="spellStart"/>
      <w:r w:rsidRPr="00C138DE">
        <w:rPr>
          <w:rFonts w:eastAsia="Times New Roman" w:cs="Times New Roman"/>
          <w:lang w:val="id-ID"/>
        </w:rPr>
        <w:t>together</w:t>
      </w:r>
      <w:proofErr w:type="spellEnd"/>
      <w:r w:rsidRPr="00C138DE">
        <w:rPr>
          <w:rFonts w:eastAsia="Times New Roman" w:cs="Times New Roman"/>
          <w:lang w:val="id-ID"/>
        </w:rPr>
        <w:t xml:space="preserve"> </w:t>
      </w:r>
      <w:proofErr w:type="spellStart"/>
      <w:r w:rsidRPr="00C138DE">
        <w:rPr>
          <w:rFonts w:eastAsia="Times New Roman" w:cs="Times New Roman"/>
          <w:lang w:val="id-ID"/>
        </w:rPr>
        <w:t>with</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eligibility</w:t>
      </w:r>
      <w:proofErr w:type="spellEnd"/>
      <w:r w:rsidRPr="00C138DE">
        <w:rPr>
          <w:rFonts w:eastAsia="Times New Roman" w:cs="Times New Roman"/>
          <w:lang w:val="id-ID"/>
        </w:rPr>
        <w:t xml:space="preserve"> </w:t>
      </w:r>
      <w:proofErr w:type="spellStart"/>
      <w:r w:rsidRPr="00C138DE">
        <w:rPr>
          <w:rFonts w:eastAsia="Times New Roman" w:cs="Times New Roman"/>
          <w:lang w:val="id-ID"/>
        </w:rPr>
        <w:t>requirement</w:t>
      </w:r>
      <w:proofErr w:type="spellEnd"/>
      <w:r w:rsidRPr="00C138DE">
        <w:rPr>
          <w:rFonts w:eastAsia="Times New Roman" w:cs="Times New Roman"/>
          <w:lang w:val="id-ID"/>
        </w:rPr>
        <w:t xml:space="preserve"> </w:t>
      </w:r>
      <w:proofErr w:type="spellStart"/>
      <w:r w:rsidRPr="00C138DE">
        <w:rPr>
          <w:rFonts w:eastAsia="Times New Roman" w:cs="Times New Roman"/>
          <w:lang w:val="id-ID"/>
        </w:rPr>
        <w:t>of</w:t>
      </w:r>
      <w:proofErr w:type="spellEnd"/>
      <w:r w:rsidRPr="00C138DE">
        <w:rPr>
          <w:rFonts w:eastAsia="Times New Roman" w:cs="Times New Roman"/>
          <w:lang w:val="id-ID"/>
        </w:rPr>
        <w:t xml:space="preserve"> </w:t>
      </w:r>
      <w:proofErr w:type="spellStart"/>
      <w:r w:rsidRPr="00C138DE">
        <w:rPr>
          <w:rFonts w:eastAsia="Times New Roman" w:cs="Times New Roman"/>
          <w:lang w:val="id-ID"/>
        </w:rPr>
        <w:t>preserved</w:t>
      </w:r>
      <w:proofErr w:type="spellEnd"/>
      <w:r w:rsidRPr="00C138DE">
        <w:rPr>
          <w:rFonts w:eastAsia="Times New Roman" w:cs="Times New Roman"/>
          <w:lang w:val="id-ID"/>
        </w:rPr>
        <w:t xml:space="preserve"> </w:t>
      </w:r>
      <w:proofErr w:type="spellStart"/>
      <w:r w:rsidRPr="00C138DE">
        <w:rPr>
          <w:rFonts w:eastAsia="Times New Roman" w:cs="Times New Roman"/>
          <w:lang w:val="id-ID"/>
        </w:rPr>
        <w:t>functional</w:t>
      </w:r>
      <w:proofErr w:type="spellEnd"/>
      <w:r w:rsidRPr="00C138DE">
        <w:rPr>
          <w:rFonts w:eastAsia="Times New Roman" w:cs="Times New Roman"/>
          <w:lang w:val="id-ID"/>
        </w:rPr>
        <w:t xml:space="preserve"> </w:t>
      </w:r>
      <w:proofErr w:type="spellStart"/>
      <w:r w:rsidRPr="00C138DE">
        <w:rPr>
          <w:rFonts w:eastAsia="Times New Roman" w:cs="Times New Roman"/>
          <w:lang w:val="id-ID"/>
        </w:rPr>
        <w:t>autonomy</w:t>
      </w:r>
      <w:proofErr w:type="spellEnd"/>
      <w:r w:rsidRPr="00C138DE">
        <w:rPr>
          <w:rFonts w:eastAsia="Times New Roman" w:cs="Times New Roman"/>
          <w:lang w:val="id-ID"/>
        </w:rPr>
        <w:t xml:space="preserve">, a </w:t>
      </w:r>
      <w:proofErr w:type="spellStart"/>
      <w:r w:rsidRPr="00C138DE">
        <w:rPr>
          <w:rFonts w:eastAsia="Times New Roman" w:cs="Times New Roman"/>
          <w:lang w:val="id-ID"/>
        </w:rPr>
        <w:t>criterion</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that</w:t>
      </w:r>
      <w:proofErr w:type="spellEnd"/>
      <w:r w:rsidRPr="00C138DE">
        <w:rPr>
          <w:rFonts w:eastAsia="Times New Roman" w:cs="Times New Roman"/>
          <w:lang w:val="id-ID"/>
        </w:rPr>
        <w:t xml:space="preserve"> </w:t>
      </w:r>
      <w:proofErr w:type="spellStart"/>
      <w:r w:rsidRPr="00C138DE">
        <w:rPr>
          <w:rFonts w:eastAsia="Times New Roman" w:cs="Times New Roman"/>
          <w:lang w:val="id-ID"/>
        </w:rPr>
        <w:t>by</w:t>
      </w:r>
      <w:proofErr w:type="spellEnd"/>
      <w:r w:rsidRPr="00C138DE">
        <w:rPr>
          <w:rFonts w:eastAsia="Times New Roman" w:cs="Times New Roman"/>
          <w:lang w:val="id-ID"/>
        </w:rPr>
        <w:t xml:space="preserve"> </w:t>
      </w:r>
      <w:proofErr w:type="spellStart"/>
      <w:r w:rsidRPr="00C138DE">
        <w:rPr>
          <w:rFonts w:eastAsia="Times New Roman" w:cs="Times New Roman"/>
          <w:lang w:val="id-ID"/>
        </w:rPr>
        <w:t>design</w:t>
      </w:r>
      <w:proofErr w:type="spellEnd"/>
      <w:r w:rsidRPr="00C138DE">
        <w:rPr>
          <w:rFonts w:eastAsia="Times New Roman" w:cs="Times New Roman"/>
          <w:lang w:val="id-ID"/>
        </w:rPr>
        <w:t xml:space="preserve"> </w:t>
      </w:r>
      <w:proofErr w:type="spellStart"/>
      <w:r w:rsidRPr="00C138DE">
        <w:rPr>
          <w:rFonts w:eastAsia="Times New Roman" w:cs="Times New Roman"/>
          <w:lang w:val="id-ID"/>
        </w:rPr>
        <w:t>filtered</w:t>
      </w:r>
      <w:proofErr w:type="spellEnd"/>
      <w:r w:rsidRPr="00C138DE">
        <w:rPr>
          <w:rFonts w:eastAsia="Times New Roman" w:cs="Times New Roman"/>
          <w:lang w:val="id-ID"/>
        </w:rPr>
        <w:t xml:space="preserve"> </w:t>
      </w:r>
      <w:proofErr w:type="spellStart"/>
      <w:r w:rsidRPr="00C138DE">
        <w:rPr>
          <w:rFonts w:eastAsia="Times New Roman" w:cs="Times New Roman"/>
          <w:lang w:val="id-ID"/>
        </w:rPr>
        <w:t>out</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most</w:t>
      </w:r>
      <w:proofErr w:type="spellEnd"/>
      <w:r w:rsidRPr="00C138DE">
        <w:rPr>
          <w:rFonts w:eastAsia="Times New Roman" w:cs="Times New Roman"/>
          <w:lang w:val="id-ID"/>
        </w:rPr>
        <w:t xml:space="preserve"> </w:t>
      </w:r>
      <w:proofErr w:type="spellStart"/>
      <w:r w:rsidRPr="00C138DE">
        <w:rPr>
          <w:rFonts w:eastAsia="Times New Roman" w:cs="Times New Roman"/>
          <w:lang w:val="id-ID"/>
        </w:rPr>
        <w:t>severely</w:t>
      </w:r>
      <w:proofErr w:type="spellEnd"/>
      <w:r w:rsidRPr="00C138DE">
        <w:rPr>
          <w:rFonts w:eastAsia="Times New Roman" w:cs="Times New Roman"/>
          <w:lang w:val="id-ID"/>
        </w:rPr>
        <w:t xml:space="preserve"> </w:t>
      </w:r>
      <w:proofErr w:type="spellStart"/>
      <w:r w:rsidRPr="00C138DE">
        <w:rPr>
          <w:rFonts w:eastAsia="Times New Roman" w:cs="Times New Roman"/>
          <w:lang w:val="id-ID"/>
        </w:rPr>
        <w:t>compromised</w:t>
      </w:r>
      <w:proofErr w:type="spellEnd"/>
      <w:r w:rsidRPr="00C138DE">
        <w:rPr>
          <w:rFonts w:eastAsia="Times New Roman" w:cs="Times New Roman"/>
          <w:lang w:val="id-ID"/>
        </w:rPr>
        <w:t xml:space="preserve"> </w:t>
      </w:r>
      <w:proofErr w:type="spellStart"/>
      <w:r w:rsidRPr="00C138DE">
        <w:rPr>
          <w:rFonts w:eastAsia="Times New Roman" w:cs="Times New Roman"/>
          <w:lang w:val="id-ID"/>
        </w:rPr>
        <w:t>members</w:t>
      </w:r>
      <w:proofErr w:type="spellEnd"/>
      <w:r w:rsidRPr="00C138DE">
        <w:rPr>
          <w:rFonts w:eastAsia="Times New Roman" w:cs="Times New Roman"/>
          <w:lang w:val="id-ID"/>
        </w:rPr>
        <w:t xml:space="preserve"> </w:t>
      </w:r>
      <w:proofErr w:type="spellStart"/>
      <w:r w:rsidRPr="00C138DE">
        <w:rPr>
          <w:rFonts w:eastAsia="Times New Roman" w:cs="Times New Roman"/>
          <w:lang w:val="id-ID"/>
        </w:rPr>
        <w:t>of</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diabetic</w:t>
      </w:r>
      <w:proofErr w:type="spellEnd"/>
      <w:r w:rsidRPr="00C138DE">
        <w:rPr>
          <w:rFonts w:eastAsia="Times New Roman" w:cs="Times New Roman"/>
          <w:lang w:val="id-ID"/>
        </w:rPr>
        <w:t xml:space="preserve"> </w:t>
      </w:r>
      <w:proofErr w:type="spellStart"/>
      <w:r w:rsidRPr="00C138DE">
        <w:rPr>
          <w:rFonts w:eastAsia="Times New Roman" w:cs="Times New Roman"/>
          <w:lang w:val="id-ID"/>
        </w:rPr>
        <w:t>population</w:t>
      </w:r>
      <w:proofErr w:type="spellEnd"/>
      <w:r w:rsidRPr="00C138DE">
        <w:rPr>
          <w:rFonts w:eastAsia="Times New Roman" w:cs="Times New Roman"/>
          <w:lang w:val="id-ID"/>
        </w:rPr>
        <w:t>.</w:t>
      </w:r>
    </w:p>
    <w:p w14:paraId="677B56D3" w14:textId="356223F1" w:rsidR="00970DED" w:rsidRPr="00C138DE" w:rsidRDefault="00E24B88" w:rsidP="00E24B88">
      <w:pPr>
        <w:ind w:left="284" w:right="288" w:firstLine="720"/>
        <w:jc w:val="both"/>
        <w:rPr>
          <w:rFonts w:eastAsia="Times New Roman" w:cs="Times New Roman"/>
          <w:lang w:val="id-ID"/>
        </w:rPr>
      </w:pPr>
      <w:proofErr w:type="spellStart"/>
      <w:r w:rsidRPr="00C138DE">
        <w:rPr>
          <w:rFonts w:eastAsia="Times New Roman" w:cs="Times New Roman"/>
          <w:lang w:val="id-ID"/>
        </w:rPr>
        <w:t>Certain</w:t>
      </w:r>
      <w:proofErr w:type="spellEnd"/>
      <w:r w:rsidRPr="00C138DE">
        <w:rPr>
          <w:rFonts w:eastAsia="Times New Roman" w:cs="Times New Roman"/>
          <w:lang w:val="id-ID"/>
        </w:rPr>
        <w:t xml:space="preserve"> </w:t>
      </w:r>
      <w:proofErr w:type="spellStart"/>
      <w:r w:rsidRPr="00C138DE">
        <w:rPr>
          <w:rFonts w:eastAsia="Times New Roman" w:cs="Times New Roman"/>
          <w:lang w:val="id-ID"/>
        </w:rPr>
        <w:t>methodological</w:t>
      </w:r>
      <w:proofErr w:type="spellEnd"/>
      <w:r w:rsidRPr="00C138DE">
        <w:rPr>
          <w:rFonts w:eastAsia="Times New Roman" w:cs="Times New Roman"/>
          <w:lang w:val="id-ID"/>
        </w:rPr>
        <w:t xml:space="preserve"> </w:t>
      </w:r>
      <w:proofErr w:type="spellStart"/>
      <w:r w:rsidRPr="00C138DE">
        <w:rPr>
          <w:rFonts w:eastAsia="Times New Roman" w:cs="Times New Roman"/>
          <w:lang w:val="id-ID"/>
        </w:rPr>
        <w:t>constraints</w:t>
      </w:r>
      <w:proofErr w:type="spellEnd"/>
      <w:r w:rsidRPr="00C138DE">
        <w:rPr>
          <w:rFonts w:eastAsia="Times New Roman" w:cs="Times New Roman"/>
          <w:lang w:val="id-ID"/>
        </w:rPr>
        <w:t xml:space="preserve"> </w:t>
      </w:r>
      <w:proofErr w:type="spellStart"/>
      <w:r w:rsidRPr="00C138DE">
        <w:rPr>
          <w:rFonts w:eastAsia="Times New Roman" w:cs="Times New Roman"/>
          <w:lang w:val="id-ID"/>
        </w:rPr>
        <w:t>warrant</w:t>
      </w:r>
      <w:proofErr w:type="spellEnd"/>
      <w:r w:rsidRPr="00C138DE">
        <w:rPr>
          <w:rFonts w:eastAsia="Times New Roman" w:cs="Times New Roman"/>
          <w:lang w:val="id-ID"/>
        </w:rPr>
        <w:t xml:space="preserve"> </w:t>
      </w:r>
      <w:proofErr w:type="spellStart"/>
      <w:r w:rsidRPr="00C138DE">
        <w:rPr>
          <w:rFonts w:eastAsia="Times New Roman" w:cs="Times New Roman"/>
          <w:lang w:val="id-ID"/>
        </w:rPr>
        <w:t>transparent</w:t>
      </w:r>
      <w:proofErr w:type="spellEnd"/>
      <w:r w:rsidRPr="00C138DE">
        <w:rPr>
          <w:rFonts w:eastAsia="Times New Roman" w:cs="Times New Roman"/>
          <w:lang w:val="id-ID"/>
        </w:rPr>
        <w:t xml:space="preserve"> </w:t>
      </w:r>
      <w:proofErr w:type="spellStart"/>
      <w:r w:rsidRPr="00C138DE">
        <w:rPr>
          <w:rFonts w:eastAsia="Times New Roman" w:cs="Times New Roman"/>
          <w:lang w:val="id-ID"/>
        </w:rPr>
        <w:t>acknowledgment</w:t>
      </w:r>
      <w:proofErr w:type="spellEnd"/>
      <w:r w:rsidRPr="00C138DE">
        <w:rPr>
          <w:rFonts w:eastAsia="Times New Roman" w:cs="Times New Roman"/>
          <w:lang w:val="id-ID"/>
        </w:rPr>
        <w:t xml:space="preserve">. First,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cross-sectional</w:t>
      </w:r>
      <w:proofErr w:type="spellEnd"/>
      <w:r w:rsidRPr="00C138DE">
        <w:rPr>
          <w:rFonts w:eastAsia="Times New Roman" w:cs="Times New Roman"/>
          <w:lang w:val="id-ID"/>
        </w:rPr>
        <w:t xml:space="preserve"> </w:t>
      </w:r>
      <w:proofErr w:type="spellStart"/>
      <w:r w:rsidRPr="00C138DE">
        <w:rPr>
          <w:rFonts w:eastAsia="Times New Roman" w:cs="Times New Roman"/>
          <w:lang w:val="id-ID"/>
        </w:rPr>
        <w:t>design</w:t>
      </w:r>
      <w:proofErr w:type="spellEnd"/>
      <w:r w:rsidRPr="00C138DE">
        <w:rPr>
          <w:rFonts w:eastAsia="Times New Roman" w:cs="Times New Roman"/>
          <w:lang w:val="id-ID"/>
        </w:rPr>
        <w:t xml:space="preserve"> </w:t>
      </w:r>
      <w:proofErr w:type="spellStart"/>
      <w:r w:rsidRPr="00C138DE">
        <w:rPr>
          <w:rFonts w:eastAsia="Times New Roman" w:cs="Times New Roman"/>
          <w:lang w:val="id-ID"/>
        </w:rPr>
        <w:t>inherently</w:t>
      </w:r>
      <w:proofErr w:type="spellEnd"/>
      <w:r w:rsidRPr="00C138DE">
        <w:rPr>
          <w:rFonts w:eastAsia="Times New Roman" w:cs="Times New Roman"/>
          <w:lang w:val="id-ID"/>
        </w:rPr>
        <w:t xml:space="preserve"> </w:t>
      </w:r>
      <w:proofErr w:type="spellStart"/>
      <w:r w:rsidRPr="00C138DE">
        <w:rPr>
          <w:rFonts w:eastAsia="Times New Roman" w:cs="Times New Roman"/>
          <w:lang w:val="id-ID"/>
        </w:rPr>
        <w:t>prevents</w:t>
      </w:r>
      <w:proofErr w:type="spellEnd"/>
      <w:r w:rsidRPr="00C138DE">
        <w:rPr>
          <w:rFonts w:eastAsia="Times New Roman" w:cs="Times New Roman"/>
          <w:lang w:val="id-ID"/>
        </w:rPr>
        <w:t xml:space="preserve"> </w:t>
      </w:r>
      <w:proofErr w:type="spellStart"/>
      <w:r w:rsidRPr="00C138DE">
        <w:rPr>
          <w:rFonts w:eastAsia="Times New Roman" w:cs="Times New Roman"/>
          <w:lang w:val="id-ID"/>
        </w:rPr>
        <w:t>conclusions</w:t>
      </w:r>
      <w:proofErr w:type="spellEnd"/>
      <w:r w:rsidRPr="00C138DE">
        <w:rPr>
          <w:rFonts w:eastAsia="Times New Roman" w:cs="Times New Roman"/>
          <w:lang w:val="id-ID"/>
        </w:rPr>
        <w:t xml:space="preserve"> </w:t>
      </w:r>
      <w:proofErr w:type="spellStart"/>
      <w:r w:rsidRPr="00C138DE">
        <w:rPr>
          <w:rFonts w:eastAsia="Times New Roman" w:cs="Times New Roman"/>
          <w:lang w:val="id-ID"/>
        </w:rPr>
        <w:t>regarding</w:t>
      </w:r>
      <w:proofErr w:type="spellEnd"/>
      <w:r w:rsidRPr="00C138DE">
        <w:rPr>
          <w:rFonts w:eastAsia="Times New Roman" w:cs="Times New Roman"/>
          <w:lang w:val="id-ID"/>
        </w:rPr>
        <w:t xml:space="preserve"> temporal </w:t>
      </w:r>
      <w:proofErr w:type="spellStart"/>
      <w:r w:rsidRPr="00C138DE">
        <w:rPr>
          <w:rFonts w:eastAsia="Times New Roman" w:cs="Times New Roman"/>
          <w:lang w:val="id-ID"/>
        </w:rPr>
        <w:t>ordering</w:t>
      </w:r>
      <w:proofErr w:type="spellEnd"/>
      <w:r w:rsidRPr="00C138DE">
        <w:rPr>
          <w:rFonts w:eastAsia="Times New Roman" w:cs="Times New Roman"/>
          <w:lang w:val="id-ID"/>
        </w:rPr>
        <w:t xml:space="preserve"> </w:t>
      </w:r>
      <w:proofErr w:type="spellStart"/>
      <w:r w:rsidRPr="00C138DE">
        <w:rPr>
          <w:rFonts w:eastAsia="Times New Roman" w:cs="Times New Roman"/>
          <w:lang w:val="id-ID"/>
        </w:rPr>
        <w:t>or</w:t>
      </w:r>
      <w:proofErr w:type="spellEnd"/>
      <w:r w:rsidRPr="00C138DE">
        <w:rPr>
          <w:rFonts w:eastAsia="Times New Roman" w:cs="Times New Roman"/>
          <w:lang w:val="id-ID"/>
        </w:rPr>
        <w:t xml:space="preserve"> </w:t>
      </w:r>
      <w:proofErr w:type="spellStart"/>
      <w:r w:rsidRPr="00C138DE">
        <w:rPr>
          <w:rFonts w:eastAsia="Times New Roman" w:cs="Times New Roman"/>
          <w:lang w:val="id-ID"/>
        </w:rPr>
        <w:t>causal</w:t>
      </w:r>
      <w:proofErr w:type="spellEnd"/>
      <w:r w:rsidRPr="00C138DE">
        <w:rPr>
          <w:rFonts w:eastAsia="Times New Roman" w:cs="Times New Roman"/>
          <w:lang w:val="id-ID"/>
        </w:rPr>
        <w:t xml:space="preserve"> </w:t>
      </w:r>
      <w:proofErr w:type="spellStart"/>
      <w:r w:rsidRPr="00C138DE">
        <w:rPr>
          <w:rFonts w:eastAsia="Times New Roman" w:cs="Times New Roman"/>
          <w:lang w:val="id-ID"/>
        </w:rPr>
        <w:t>directionality</w:t>
      </w:r>
      <w:proofErr w:type="spellEnd"/>
      <w:r w:rsidRPr="00C138DE">
        <w:rPr>
          <w:rFonts w:eastAsia="Times New Roman" w:cs="Times New Roman"/>
          <w:lang w:val="id-ID"/>
        </w:rPr>
        <w:t xml:space="preserve"> </w:t>
      </w:r>
      <w:proofErr w:type="spellStart"/>
      <w:r w:rsidRPr="00C138DE">
        <w:rPr>
          <w:rFonts w:eastAsia="Times New Roman" w:cs="Times New Roman"/>
          <w:lang w:val="id-ID"/>
        </w:rPr>
        <w:t>within</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sarcopenia</w:t>
      </w:r>
      <w:proofErr w:type="spellEnd"/>
      <w:r w:rsidRPr="00C138DE">
        <w:rPr>
          <w:rFonts w:eastAsia="Times New Roman" w:cs="Times New Roman"/>
          <w:lang w:val="id-ID"/>
        </w:rPr>
        <w:t xml:space="preserve">–CF </w:t>
      </w:r>
      <w:proofErr w:type="spellStart"/>
      <w:r w:rsidRPr="00C138DE">
        <w:rPr>
          <w:rFonts w:eastAsia="Times New Roman" w:cs="Times New Roman"/>
          <w:lang w:val="id-ID"/>
        </w:rPr>
        <w:t>relationship</w:t>
      </w:r>
      <w:proofErr w:type="spellEnd"/>
      <w:r w:rsidRPr="00C138DE">
        <w:rPr>
          <w:rFonts w:eastAsia="Times New Roman" w:cs="Times New Roman"/>
          <w:lang w:val="id-ID"/>
        </w:rPr>
        <w:t xml:space="preserve">; </w:t>
      </w:r>
      <w:proofErr w:type="spellStart"/>
      <w:r w:rsidRPr="00C138DE">
        <w:rPr>
          <w:rFonts w:eastAsia="Times New Roman" w:cs="Times New Roman"/>
          <w:lang w:val="id-ID"/>
        </w:rPr>
        <w:t>clarifying</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these</w:t>
      </w:r>
      <w:proofErr w:type="spellEnd"/>
      <w:r w:rsidRPr="00C138DE">
        <w:rPr>
          <w:rFonts w:eastAsia="Times New Roman" w:cs="Times New Roman"/>
          <w:lang w:val="id-ID"/>
        </w:rPr>
        <w:t xml:space="preserve"> </w:t>
      </w:r>
      <w:proofErr w:type="spellStart"/>
      <w:r w:rsidRPr="00C138DE">
        <w:rPr>
          <w:rFonts w:eastAsia="Times New Roman" w:cs="Times New Roman"/>
          <w:lang w:val="id-ID"/>
        </w:rPr>
        <w:t>dimensions</w:t>
      </w:r>
      <w:proofErr w:type="spellEnd"/>
      <w:r w:rsidRPr="00C138DE">
        <w:rPr>
          <w:rFonts w:eastAsia="Times New Roman" w:cs="Times New Roman"/>
          <w:lang w:val="id-ID"/>
        </w:rPr>
        <w:t xml:space="preserve"> </w:t>
      </w:r>
      <w:proofErr w:type="spellStart"/>
      <w:r w:rsidRPr="00C138DE">
        <w:rPr>
          <w:rFonts w:eastAsia="Times New Roman" w:cs="Times New Roman"/>
          <w:lang w:val="id-ID"/>
        </w:rPr>
        <w:t>will</w:t>
      </w:r>
      <w:proofErr w:type="spellEnd"/>
      <w:r w:rsidRPr="00C138DE">
        <w:rPr>
          <w:rFonts w:eastAsia="Times New Roman" w:cs="Times New Roman"/>
          <w:lang w:val="id-ID"/>
        </w:rPr>
        <w:t xml:space="preserve"> </w:t>
      </w:r>
      <w:proofErr w:type="spellStart"/>
      <w:r w:rsidRPr="00C138DE">
        <w:rPr>
          <w:rFonts w:eastAsia="Times New Roman" w:cs="Times New Roman"/>
          <w:lang w:val="id-ID"/>
        </w:rPr>
        <w:t>require</w:t>
      </w:r>
      <w:proofErr w:type="spellEnd"/>
      <w:r w:rsidRPr="00C138DE">
        <w:rPr>
          <w:rFonts w:eastAsia="Times New Roman" w:cs="Times New Roman"/>
          <w:lang w:val="id-ID"/>
        </w:rPr>
        <w:t xml:space="preserve"> </w:t>
      </w:r>
      <w:proofErr w:type="spellStart"/>
      <w:r w:rsidRPr="00C138DE">
        <w:rPr>
          <w:rFonts w:eastAsia="Times New Roman" w:cs="Times New Roman"/>
          <w:lang w:val="id-ID"/>
        </w:rPr>
        <w:t>studies</w:t>
      </w:r>
      <w:proofErr w:type="spellEnd"/>
      <w:r w:rsidRPr="00C138DE">
        <w:rPr>
          <w:rFonts w:eastAsia="Times New Roman" w:cs="Times New Roman"/>
          <w:lang w:val="id-ID"/>
        </w:rPr>
        <w:t xml:space="preserve"> </w:t>
      </w:r>
      <w:proofErr w:type="spellStart"/>
      <w:r w:rsidRPr="00C138DE">
        <w:rPr>
          <w:rFonts w:eastAsia="Times New Roman" w:cs="Times New Roman"/>
          <w:lang w:val="id-ID"/>
        </w:rPr>
        <w:t>employing</w:t>
      </w:r>
      <w:proofErr w:type="spellEnd"/>
      <w:r w:rsidRPr="00C138DE">
        <w:rPr>
          <w:rFonts w:eastAsia="Times New Roman" w:cs="Times New Roman"/>
          <w:lang w:val="id-ID"/>
        </w:rPr>
        <w:t xml:space="preserve"> longitudinal </w:t>
      </w:r>
      <w:proofErr w:type="spellStart"/>
      <w:r w:rsidRPr="00C138DE">
        <w:rPr>
          <w:rFonts w:eastAsia="Times New Roman" w:cs="Times New Roman"/>
          <w:lang w:val="id-ID"/>
        </w:rPr>
        <w:t>follow-up</w:t>
      </w:r>
      <w:proofErr w:type="spellEnd"/>
      <w:r w:rsidRPr="00C138DE">
        <w:rPr>
          <w:rFonts w:eastAsia="Times New Roman" w:cs="Times New Roman"/>
          <w:lang w:val="id-ID"/>
        </w:rPr>
        <w:t xml:space="preserve"> </w:t>
      </w:r>
      <w:proofErr w:type="spellStart"/>
      <w:r w:rsidRPr="00C138DE">
        <w:rPr>
          <w:rFonts w:eastAsia="Times New Roman" w:cs="Times New Roman"/>
          <w:lang w:val="id-ID"/>
        </w:rPr>
        <w:t>or</w:t>
      </w:r>
      <w:proofErr w:type="spellEnd"/>
      <w:r w:rsidRPr="00C138DE">
        <w:rPr>
          <w:rFonts w:eastAsia="Times New Roman" w:cs="Times New Roman"/>
          <w:lang w:val="id-ID"/>
        </w:rPr>
        <w:t xml:space="preserve"> </w:t>
      </w:r>
      <w:proofErr w:type="spellStart"/>
      <w:r w:rsidRPr="00C138DE">
        <w:rPr>
          <w:rFonts w:eastAsia="Times New Roman" w:cs="Times New Roman"/>
          <w:lang w:val="id-ID"/>
        </w:rPr>
        <w:t>prospective</w:t>
      </w:r>
      <w:proofErr w:type="spellEnd"/>
      <w:r w:rsidRPr="00C138DE">
        <w:rPr>
          <w:rFonts w:eastAsia="Times New Roman" w:cs="Times New Roman"/>
          <w:lang w:val="id-ID"/>
        </w:rPr>
        <w:t xml:space="preserve"> </w:t>
      </w:r>
      <w:proofErr w:type="spellStart"/>
      <w:r w:rsidRPr="00C138DE">
        <w:rPr>
          <w:rFonts w:eastAsia="Times New Roman" w:cs="Times New Roman"/>
          <w:lang w:val="id-ID"/>
        </w:rPr>
        <w:t>enrollment</w:t>
      </w:r>
      <w:proofErr w:type="spellEnd"/>
      <w:r w:rsidRPr="00C138DE">
        <w:rPr>
          <w:rFonts w:eastAsia="Times New Roman" w:cs="Times New Roman"/>
          <w:lang w:val="id-ID"/>
        </w:rPr>
        <w:t xml:space="preserve">. </w:t>
      </w:r>
      <w:proofErr w:type="spellStart"/>
      <w:r w:rsidRPr="00C138DE">
        <w:rPr>
          <w:rFonts w:eastAsia="Times New Roman" w:cs="Times New Roman"/>
          <w:lang w:val="id-ID"/>
        </w:rPr>
        <w:t>Second</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reliance</w:t>
      </w:r>
      <w:proofErr w:type="spellEnd"/>
      <w:r w:rsidRPr="00C138DE">
        <w:rPr>
          <w:rFonts w:eastAsia="Times New Roman" w:cs="Times New Roman"/>
          <w:lang w:val="id-ID"/>
        </w:rPr>
        <w:t xml:space="preserve"> </w:t>
      </w:r>
      <w:proofErr w:type="spellStart"/>
      <w:r w:rsidRPr="00C138DE">
        <w:rPr>
          <w:rFonts w:eastAsia="Times New Roman" w:cs="Times New Roman"/>
          <w:lang w:val="id-ID"/>
        </w:rPr>
        <w:t>on</w:t>
      </w:r>
      <w:proofErr w:type="spellEnd"/>
      <w:r w:rsidRPr="00C138DE">
        <w:rPr>
          <w:rFonts w:eastAsia="Times New Roman" w:cs="Times New Roman"/>
          <w:lang w:val="id-ID"/>
        </w:rPr>
        <w:t xml:space="preserve"> </w:t>
      </w:r>
      <w:proofErr w:type="spellStart"/>
      <w:r w:rsidRPr="00C138DE">
        <w:rPr>
          <w:rFonts w:eastAsia="Times New Roman" w:cs="Times New Roman"/>
          <w:lang w:val="id-ID"/>
        </w:rPr>
        <w:t>self-report</w:t>
      </w:r>
      <w:proofErr w:type="spellEnd"/>
      <w:r w:rsidRPr="00C138DE">
        <w:rPr>
          <w:rFonts w:eastAsia="Times New Roman" w:cs="Times New Roman"/>
          <w:lang w:val="id-ID"/>
        </w:rPr>
        <w:t xml:space="preserve"> </w:t>
      </w:r>
      <w:proofErr w:type="spellStart"/>
      <w:r w:rsidRPr="00C138DE">
        <w:rPr>
          <w:rFonts w:eastAsia="Times New Roman" w:cs="Times New Roman"/>
          <w:lang w:val="id-ID"/>
        </w:rPr>
        <w:t>screening</w:t>
      </w:r>
      <w:proofErr w:type="spellEnd"/>
      <w:r w:rsidRPr="00C138DE">
        <w:rPr>
          <w:rFonts w:eastAsia="Times New Roman" w:cs="Times New Roman"/>
          <w:lang w:val="id-ID"/>
        </w:rPr>
        <w:t xml:space="preserve"> </w:t>
      </w:r>
      <w:proofErr w:type="spellStart"/>
      <w:r w:rsidRPr="00C138DE">
        <w:rPr>
          <w:rFonts w:eastAsia="Times New Roman" w:cs="Times New Roman"/>
          <w:lang w:val="id-ID"/>
        </w:rPr>
        <w:t>instruments</w:t>
      </w:r>
      <w:proofErr w:type="spellEnd"/>
      <w:r w:rsidRPr="00C138DE">
        <w:rPr>
          <w:rFonts w:eastAsia="Times New Roman" w:cs="Times New Roman"/>
          <w:lang w:val="id-ID"/>
        </w:rPr>
        <w:t xml:space="preserve"> (SARC-F </w:t>
      </w:r>
      <w:proofErr w:type="spellStart"/>
      <w:r w:rsidRPr="00C138DE">
        <w:rPr>
          <w:rFonts w:eastAsia="Times New Roman" w:cs="Times New Roman"/>
          <w:lang w:val="id-ID"/>
        </w:rPr>
        <w:t>and</w:t>
      </w:r>
      <w:proofErr w:type="spellEnd"/>
      <w:r w:rsidRPr="00C138DE">
        <w:rPr>
          <w:rFonts w:eastAsia="Times New Roman" w:cs="Times New Roman"/>
          <w:lang w:val="id-ID"/>
        </w:rPr>
        <w:t xml:space="preserve"> FRAIL) </w:t>
      </w:r>
      <w:proofErr w:type="spellStart"/>
      <w:r w:rsidRPr="00C138DE">
        <w:rPr>
          <w:rFonts w:eastAsia="Times New Roman" w:cs="Times New Roman"/>
          <w:lang w:val="id-ID"/>
        </w:rPr>
        <w:t>instead</w:t>
      </w:r>
      <w:proofErr w:type="spellEnd"/>
      <w:r w:rsidRPr="00C138DE">
        <w:rPr>
          <w:rFonts w:eastAsia="Times New Roman" w:cs="Times New Roman"/>
          <w:lang w:val="id-ID"/>
        </w:rPr>
        <w:t xml:space="preserve"> </w:t>
      </w:r>
      <w:proofErr w:type="spellStart"/>
      <w:r w:rsidRPr="00C138DE">
        <w:rPr>
          <w:rFonts w:eastAsia="Times New Roman" w:cs="Times New Roman"/>
          <w:lang w:val="id-ID"/>
        </w:rPr>
        <w:t>of</w:t>
      </w:r>
      <w:proofErr w:type="spellEnd"/>
      <w:r w:rsidRPr="00C138DE">
        <w:rPr>
          <w:rFonts w:eastAsia="Times New Roman" w:cs="Times New Roman"/>
          <w:lang w:val="id-ID"/>
        </w:rPr>
        <w:t xml:space="preserve"> </w:t>
      </w:r>
      <w:proofErr w:type="spellStart"/>
      <w:r w:rsidRPr="00C138DE">
        <w:rPr>
          <w:rFonts w:eastAsia="Times New Roman" w:cs="Times New Roman"/>
          <w:lang w:val="id-ID"/>
        </w:rPr>
        <w:t>criterion-standard</w:t>
      </w:r>
      <w:proofErr w:type="spellEnd"/>
      <w:r w:rsidRPr="00C138DE">
        <w:rPr>
          <w:rFonts w:eastAsia="Times New Roman" w:cs="Times New Roman"/>
          <w:lang w:val="id-ID"/>
        </w:rPr>
        <w:t xml:space="preserve"> </w:t>
      </w:r>
      <w:proofErr w:type="spellStart"/>
      <w:r w:rsidRPr="00C138DE">
        <w:rPr>
          <w:rFonts w:eastAsia="Times New Roman" w:cs="Times New Roman"/>
          <w:lang w:val="id-ID"/>
        </w:rPr>
        <w:t>measurements</w:t>
      </w:r>
      <w:proofErr w:type="spellEnd"/>
      <w:r w:rsidRPr="00C138DE">
        <w:rPr>
          <w:rFonts w:eastAsia="Times New Roman" w:cs="Times New Roman"/>
          <w:lang w:val="id-ID"/>
        </w:rPr>
        <w:t xml:space="preserve"> </w:t>
      </w:r>
      <w:proofErr w:type="spellStart"/>
      <w:r w:rsidRPr="00C138DE">
        <w:rPr>
          <w:rFonts w:eastAsia="Times New Roman" w:cs="Times New Roman"/>
          <w:lang w:val="id-ID"/>
        </w:rPr>
        <w:t>such</w:t>
      </w:r>
      <w:proofErr w:type="spellEnd"/>
      <w:r w:rsidRPr="00C138DE">
        <w:rPr>
          <w:rFonts w:eastAsia="Times New Roman" w:cs="Times New Roman"/>
          <w:lang w:val="id-ID"/>
        </w:rPr>
        <w:t xml:space="preserve"> as </w:t>
      </w:r>
      <w:proofErr w:type="spellStart"/>
      <w:r w:rsidRPr="00C138DE">
        <w:rPr>
          <w:rFonts w:eastAsia="Times New Roman" w:cs="Times New Roman"/>
          <w:lang w:val="id-ID"/>
        </w:rPr>
        <w:t>dual-energy</w:t>
      </w:r>
      <w:proofErr w:type="spellEnd"/>
      <w:r w:rsidRPr="00C138DE">
        <w:rPr>
          <w:rFonts w:eastAsia="Times New Roman" w:cs="Times New Roman"/>
          <w:lang w:val="id-ID"/>
        </w:rPr>
        <w:t xml:space="preserve"> X-</w:t>
      </w:r>
      <w:proofErr w:type="spellStart"/>
      <w:r w:rsidRPr="00C138DE">
        <w:rPr>
          <w:rFonts w:eastAsia="Times New Roman" w:cs="Times New Roman"/>
          <w:lang w:val="id-ID"/>
        </w:rPr>
        <w:t>ray</w:t>
      </w:r>
      <w:proofErr w:type="spellEnd"/>
      <w:r w:rsidRPr="00C138DE">
        <w:rPr>
          <w:rFonts w:eastAsia="Times New Roman" w:cs="Times New Roman"/>
          <w:lang w:val="id-ID"/>
        </w:rPr>
        <w:t xml:space="preserve"> </w:t>
      </w:r>
      <w:proofErr w:type="spellStart"/>
      <w:r w:rsidRPr="00C138DE">
        <w:rPr>
          <w:rFonts w:eastAsia="Times New Roman" w:cs="Times New Roman"/>
          <w:lang w:val="id-ID"/>
        </w:rPr>
        <w:t>absorptiometry</w:t>
      </w:r>
      <w:proofErr w:type="spellEnd"/>
      <w:r w:rsidRPr="00C138DE">
        <w:rPr>
          <w:rFonts w:eastAsia="Times New Roman" w:cs="Times New Roman"/>
          <w:lang w:val="id-ID"/>
        </w:rPr>
        <w:t xml:space="preserve"> </w:t>
      </w:r>
      <w:proofErr w:type="spellStart"/>
      <w:r w:rsidRPr="00C138DE">
        <w:rPr>
          <w:rFonts w:eastAsia="Times New Roman" w:cs="Times New Roman"/>
          <w:lang w:val="id-ID"/>
        </w:rPr>
        <w:t>or</w:t>
      </w:r>
      <w:proofErr w:type="spellEnd"/>
      <w:r w:rsidRPr="00C138DE">
        <w:rPr>
          <w:rFonts w:eastAsia="Times New Roman" w:cs="Times New Roman"/>
          <w:lang w:val="id-ID"/>
        </w:rPr>
        <w:t xml:space="preserve"> </w:t>
      </w:r>
      <w:proofErr w:type="spellStart"/>
      <w:r w:rsidRPr="00C138DE">
        <w:rPr>
          <w:rFonts w:eastAsia="Times New Roman" w:cs="Times New Roman"/>
          <w:lang w:val="id-ID"/>
        </w:rPr>
        <w:t>comprehensive</w:t>
      </w:r>
      <w:proofErr w:type="spellEnd"/>
      <w:r w:rsidRPr="00C138DE">
        <w:rPr>
          <w:rFonts w:eastAsia="Times New Roman" w:cs="Times New Roman"/>
          <w:lang w:val="id-ID"/>
        </w:rPr>
        <w:t xml:space="preserve"> </w:t>
      </w:r>
      <w:proofErr w:type="spellStart"/>
      <w:r w:rsidRPr="00C138DE">
        <w:rPr>
          <w:rFonts w:eastAsia="Times New Roman" w:cs="Times New Roman"/>
          <w:lang w:val="id-ID"/>
        </w:rPr>
        <w:t>geriatric</w:t>
      </w:r>
      <w:proofErr w:type="spellEnd"/>
      <w:r w:rsidRPr="00C138DE">
        <w:rPr>
          <w:rFonts w:eastAsia="Times New Roman" w:cs="Times New Roman"/>
          <w:lang w:val="id-ID"/>
        </w:rPr>
        <w:t xml:space="preserve"> </w:t>
      </w:r>
      <w:proofErr w:type="spellStart"/>
      <w:r w:rsidRPr="00C138DE">
        <w:rPr>
          <w:rFonts w:eastAsia="Times New Roman" w:cs="Times New Roman"/>
          <w:lang w:val="id-ID"/>
        </w:rPr>
        <w:t>assessment</w:t>
      </w:r>
      <w:proofErr w:type="spellEnd"/>
      <w:r w:rsidRPr="00C138DE">
        <w:rPr>
          <w:rFonts w:eastAsia="Times New Roman" w:cs="Times New Roman"/>
          <w:lang w:val="id-ID"/>
        </w:rPr>
        <w:t xml:space="preserve"> </w:t>
      </w:r>
      <w:proofErr w:type="spellStart"/>
      <w:r w:rsidRPr="00C138DE">
        <w:rPr>
          <w:rFonts w:eastAsia="Times New Roman" w:cs="Times New Roman"/>
          <w:lang w:val="id-ID"/>
        </w:rPr>
        <w:t>represents</w:t>
      </w:r>
      <w:proofErr w:type="spellEnd"/>
      <w:r w:rsidRPr="00C138DE">
        <w:rPr>
          <w:rFonts w:eastAsia="Times New Roman" w:cs="Times New Roman"/>
          <w:lang w:val="id-ID"/>
        </w:rPr>
        <w:t xml:space="preserve"> a </w:t>
      </w:r>
      <w:proofErr w:type="spellStart"/>
      <w:r w:rsidRPr="00C138DE">
        <w:rPr>
          <w:rFonts w:eastAsia="Times New Roman" w:cs="Times New Roman"/>
          <w:lang w:val="id-ID"/>
        </w:rPr>
        <w:t>pragmatic</w:t>
      </w:r>
      <w:proofErr w:type="spellEnd"/>
      <w:r w:rsidRPr="00C138DE">
        <w:rPr>
          <w:rFonts w:eastAsia="Times New Roman" w:cs="Times New Roman"/>
          <w:lang w:val="id-ID"/>
        </w:rPr>
        <w:t xml:space="preserve"> </w:t>
      </w:r>
      <w:proofErr w:type="spellStart"/>
      <w:r w:rsidRPr="00C138DE">
        <w:rPr>
          <w:rFonts w:eastAsia="Times New Roman" w:cs="Times New Roman"/>
          <w:lang w:val="id-ID"/>
        </w:rPr>
        <w:t>concession</w:t>
      </w:r>
      <w:proofErr w:type="spellEnd"/>
      <w:r w:rsidRPr="00C138DE">
        <w:rPr>
          <w:rFonts w:eastAsia="Times New Roman" w:cs="Times New Roman"/>
          <w:lang w:val="id-ID"/>
        </w:rPr>
        <w:t xml:space="preserve"> </w:t>
      </w:r>
      <w:proofErr w:type="spellStart"/>
      <w:r w:rsidRPr="00C138DE">
        <w:rPr>
          <w:rFonts w:eastAsia="Times New Roman" w:cs="Times New Roman"/>
          <w:lang w:val="id-ID"/>
        </w:rPr>
        <w:t>to</w:t>
      </w:r>
      <w:proofErr w:type="spellEnd"/>
      <w:r w:rsidRPr="00C138DE">
        <w:rPr>
          <w:rFonts w:eastAsia="Times New Roman" w:cs="Times New Roman"/>
          <w:lang w:val="id-ID"/>
        </w:rPr>
        <w:t xml:space="preserve"> </w:t>
      </w:r>
      <w:proofErr w:type="spellStart"/>
      <w:r w:rsidRPr="00C138DE">
        <w:rPr>
          <w:rFonts w:eastAsia="Times New Roman" w:cs="Times New Roman"/>
          <w:lang w:val="id-ID"/>
        </w:rPr>
        <w:t>primary</w:t>
      </w:r>
      <w:proofErr w:type="spellEnd"/>
      <w:r w:rsidRPr="00C138DE">
        <w:rPr>
          <w:rFonts w:eastAsia="Times New Roman" w:cs="Times New Roman"/>
          <w:lang w:val="id-ID"/>
        </w:rPr>
        <w:t xml:space="preserve"> </w:t>
      </w:r>
      <w:proofErr w:type="spellStart"/>
      <w:r w:rsidRPr="00C138DE">
        <w:rPr>
          <w:rFonts w:eastAsia="Times New Roman" w:cs="Times New Roman"/>
          <w:lang w:val="id-ID"/>
        </w:rPr>
        <w:t>care</w:t>
      </w:r>
      <w:proofErr w:type="spellEnd"/>
      <w:r w:rsidRPr="00C138DE">
        <w:rPr>
          <w:rFonts w:eastAsia="Times New Roman" w:cs="Times New Roman"/>
          <w:lang w:val="id-ID"/>
        </w:rPr>
        <w:t xml:space="preserve"> </w:t>
      </w:r>
      <w:proofErr w:type="spellStart"/>
      <w:r w:rsidRPr="00C138DE">
        <w:rPr>
          <w:rFonts w:eastAsia="Times New Roman" w:cs="Times New Roman"/>
          <w:lang w:val="id-ID"/>
        </w:rPr>
        <w:t>resource</w:t>
      </w:r>
      <w:proofErr w:type="spellEnd"/>
      <w:r w:rsidRPr="00C138DE">
        <w:rPr>
          <w:rFonts w:eastAsia="Times New Roman" w:cs="Times New Roman"/>
          <w:lang w:val="id-ID"/>
        </w:rPr>
        <w:t xml:space="preserve"> </w:t>
      </w:r>
      <w:proofErr w:type="spellStart"/>
      <w:r w:rsidRPr="00C138DE">
        <w:rPr>
          <w:rFonts w:eastAsia="Times New Roman" w:cs="Times New Roman"/>
          <w:lang w:val="id-ID"/>
        </w:rPr>
        <w:t>realities</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that</w:t>
      </w:r>
      <w:proofErr w:type="spellEnd"/>
      <w:r w:rsidRPr="00C138DE">
        <w:rPr>
          <w:rFonts w:eastAsia="Times New Roman" w:cs="Times New Roman"/>
          <w:lang w:val="id-ID"/>
        </w:rPr>
        <w:t xml:space="preserve"> </w:t>
      </w:r>
      <w:proofErr w:type="spellStart"/>
      <w:r w:rsidRPr="00C138DE">
        <w:rPr>
          <w:rFonts w:eastAsia="Times New Roman" w:cs="Times New Roman"/>
          <w:lang w:val="id-ID"/>
        </w:rPr>
        <w:t>inevitably</w:t>
      </w:r>
      <w:proofErr w:type="spellEnd"/>
      <w:r w:rsidRPr="00C138DE">
        <w:rPr>
          <w:rFonts w:eastAsia="Times New Roman" w:cs="Times New Roman"/>
          <w:lang w:val="id-ID"/>
        </w:rPr>
        <w:t xml:space="preserve"> </w:t>
      </w:r>
      <w:proofErr w:type="spellStart"/>
      <w:r w:rsidRPr="00C138DE">
        <w:rPr>
          <w:rFonts w:eastAsia="Times New Roman" w:cs="Times New Roman"/>
          <w:lang w:val="id-ID"/>
        </w:rPr>
        <w:t>limits</w:t>
      </w:r>
      <w:proofErr w:type="spellEnd"/>
      <w:r w:rsidRPr="00C138DE">
        <w:rPr>
          <w:rFonts w:eastAsia="Times New Roman" w:cs="Times New Roman"/>
          <w:lang w:val="id-ID"/>
        </w:rPr>
        <w:t xml:space="preserve"> </w:t>
      </w:r>
      <w:proofErr w:type="spellStart"/>
      <w:r w:rsidRPr="00C138DE">
        <w:rPr>
          <w:rFonts w:eastAsia="Times New Roman" w:cs="Times New Roman"/>
          <w:lang w:val="id-ID"/>
        </w:rPr>
        <w:t>diagnostic</w:t>
      </w:r>
      <w:proofErr w:type="spellEnd"/>
      <w:r w:rsidRPr="00C138DE">
        <w:rPr>
          <w:rFonts w:eastAsia="Times New Roman" w:cs="Times New Roman"/>
          <w:lang w:val="id-ID"/>
        </w:rPr>
        <w:t xml:space="preserve"> </w:t>
      </w:r>
      <w:proofErr w:type="spellStart"/>
      <w:r w:rsidRPr="00C138DE">
        <w:rPr>
          <w:rFonts w:eastAsia="Times New Roman" w:cs="Times New Roman"/>
          <w:lang w:val="id-ID"/>
        </w:rPr>
        <w:t>precision</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Third</w:t>
      </w:r>
      <w:proofErr w:type="spellEnd"/>
      <w:r w:rsidRPr="00C138DE">
        <w:rPr>
          <w:rFonts w:eastAsia="Times New Roman" w:cs="Times New Roman"/>
          <w:lang w:val="id-ID"/>
        </w:rPr>
        <w:t xml:space="preserve">, </w:t>
      </w:r>
      <w:proofErr w:type="spellStart"/>
      <w:r w:rsidRPr="00C138DE">
        <w:rPr>
          <w:rFonts w:eastAsia="Times New Roman" w:cs="Times New Roman"/>
          <w:lang w:val="id-ID"/>
        </w:rPr>
        <w:t>recruitment</w:t>
      </w:r>
      <w:proofErr w:type="spellEnd"/>
      <w:r w:rsidRPr="00C138DE">
        <w:rPr>
          <w:rFonts w:eastAsia="Times New Roman" w:cs="Times New Roman"/>
          <w:lang w:val="id-ID"/>
        </w:rPr>
        <w:t xml:space="preserve"> </w:t>
      </w:r>
      <w:proofErr w:type="spellStart"/>
      <w:r w:rsidRPr="00C138DE">
        <w:rPr>
          <w:rFonts w:eastAsia="Times New Roman" w:cs="Times New Roman"/>
          <w:lang w:val="id-ID"/>
        </w:rPr>
        <w:t>was</w:t>
      </w:r>
      <w:proofErr w:type="spellEnd"/>
      <w:r w:rsidRPr="00C138DE">
        <w:rPr>
          <w:rFonts w:eastAsia="Times New Roman" w:cs="Times New Roman"/>
          <w:lang w:val="id-ID"/>
        </w:rPr>
        <w:t xml:space="preserve"> </w:t>
      </w:r>
      <w:proofErr w:type="spellStart"/>
      <w:r w:rsidRPr="00C138DE">
        <w:rPr>
          <w:rFonts w:eastAsia="Times New Roman" w:cs="Times New Roman"/>
          <w:lang w:val="id-ID"/>
        </w:rPr>
        <w:t>confined</w:t>
      </w:r>
      <w:proofErr w:type="spellEnd"/>
      <w:r w:rsidRPr="00C138DE">
        <w:rPr>
          <w:rFonts w:eastAsia="Times New Roman" w:cs="Times New Roman"/>
          <w:lang w:val="id-ID"/>
        </w:rPr>
        <w:t xml:space="preserve"> </w:t>
      </w:r>
      <w:proofErr w:type="spellStart"/>
      <w:r w:rsidRPr="00C138DE">
        <w:rPr>
          <w:rFonts w:eastAsia="Times New Roman" w:cs="Times New Roman"/>
          <w:lang w:val="id-ID"/>
        </w:rPr>
        <w:t>to</w:t>
      </w:r>
      <w:proofErr w:type="spellEnd"/>
      <w:r w:rsidRPr="00C138DE">
        <w:rPr>
          <w:rFonts w:eastAsia="Times New Roman" w:cs="Times New Roman"/>
          <w:lang w:val="id-ID"/>
        </w:rPr>
        <w:t xml:space="preserve"> </w:t>
      </w:r>
      <w:proofErr w:type="spellStart"/>
      <w:r w:rsidRPr="00C138DE">
        <w:rPr>
          <w:rFonts w:eastAsia="Times New Roman" w:cs="Times New Roman"/>
          <w:lang w:val="id-ID"/>
        </w:rPr>
        <w:t>two</w:t>
      </w:r>
      <w:proofErr w:type="spellEnd"/>
      <w:r w:rsidRPr="00C138DE">
        <w:rPr>
          <w:rFonts w:eastAsia="Times New Roman" w:cs="Times New Roman"/>
          <w:lang w:val="id-ID"/>
        </w:rPr>
        <w:t xml:space="preserve"> urban </w:t>
      </w:r>
      <w:proofErr w:type="spellStart"/>
      <w:r w:rsidRPr="00C138DE">
        <w:rPr>
          <w:rFonts w:eastAsia="Times New Roman" w:cs="Times New Roman"/>
          <w:lang w:val="id-ID"/>
        </w:rPr>
        <w:t>primary</w:t>
      </w:r>
      <w:proofErr w:type="spellEnd"/>
      <w:r w:rsidRPr="00C138DE">
        <w:rPr>
          <w:rFonts w:eastAsia="Times New Roman" w:cs="Times New Roman"/>
          <w:lang w:val="id-ID"/>
        </w:rPr>
        <w:t xml:space="preserve"> </w:t>
      </w:r>
      <w:proofErr w:type="spellStart"/>
      <w:r w:rsidRPr="00C138DE">
        <w:rPr>
          <w:rFonts w:eastAsia="Times New Roman" w:cs="Times New Roman"/>
          <w:lang w:val="id-ID"/>
        </w:rPr>
        <w:t>care</w:t>
      </w:r>
      <w:proofErr w:type="spellEnd"/>
      <w:r w:rsidRPr="00C138DE">
        <w:rPr>
          <w:rFonts w:eastAsia="Times New Roman" w:cs="Times New Roman"/>
          <w:lang w:val="id-ID"/>
        </w:rPr>
        <w:t xml:space="preserve"> </w:t>
      </w:r>
      <w:proofErr w:type="spellStart"/>
      <w:r w:rsidRPr="00C138DE">
        <w:rPr>
          <w:rFonts w:eastAsia="Times New Roman" w:cs="Times New Roman"/>
          <w:lang w:val="id-ID"/>
        </w:rPr>
        <w:t>facilities</w:t>
      </w:r>
      <w:proofErr w:type="spellEnd"/>
      <w:r w:rsidRPr="00C138DE">
        <w:rPr>
          <w:rFonts w:eastAsia="Times New Roman" w:cs="Times New Roman"/>
          <w:lang w:val="id-ID"/>
        </w:rPr>
        <w:t xml:space="preserve"> in </w:t>
      </w:r>
      <w:proofErr w:type="spellStart"/>
      <w:r w:rsidRPr="00C138DE">
        <w:rPr>
          <w:rFonts w:eastAsia="Times New Roman" w:cs="Times New Roman"/>
          <w:lang w:val="id-ID"/>
        </w:rPr>
        <w:t>one</w:t>
      </w:r>
      <w:proofErr w:type="spellEnd"/>
      <w:r w:rsidRPr="00C138DE">
        <w:rPr>
          <w:rFonts w:eastAsia="Times New Roman" w:cs="Times New Roman"/>
          <w:lang w:val="id-ID"/>
        </w:rPr>
        <w:t xml:space="preserve"> </w:t>
      </w:r>
      <w:proofErr w:type="spellStart"/>
      <w:r w:rsidRPr="00C138DE">
        <w:rPr>
          <w:rFonts w:eastAsia="Times New Roman" w:cs="Times New Roman"/>
          <w:lang w:val="id-ID"/>
        </w:rPr>
        <w:t>administrative</w:t>
      </w:r>
      <w:proofErr w:type="spellEnd"/>
      <w:r w:rsidRPr="00C138DE">
        <w:rPr>
          <w:rFonts w:eastAsia="Times New Roman" w:cs="Times New Roman"/>
          <w:lang w:val="id-ID"/>
        </w:rPr>
        <w:t xml:space="preserve"> region </w:t>
      </w:r>
      <w:proofErr w:type="spellStart"/>
      <w:r w:rsidRPr="00C138DE">
        <w:rPr>
          <w:rFonts w:eastAsia="Times New Roman" w:cs="Times New Roman"/>
          <w:lang w:val="id-ID"/>
        </w:rPr>
        <w:t>of</w:t>
      </w:r>
      <w:proofErr w:type="spellEnd"/>
      <w:r w:rsidRPr="00C138DE">
        <w:rPr>
          <w:rFonts w:eastAsia="Times New Roman" w:cs="Times New Roman"/>
          <w:lang w:val="id-ID"/>
        </w:rPr>
        <w:t xml:space="preserve"> </w:t>
      </w:r>
      <w:proofErr w:type="spellStart"/>
      <w:r w:rsidRPr="00C138DE">
        <w:rPr>
          <w:rFonts w:eastAsia="Times New Roman" w:cs="Times New Roman"/>
          <w:lang w:val="id-ID"/>
        </w:rPr>
        <w:t>East</w:t>
      </w:r>
      <w:proofErr w:type="spellEnd"/>
      <w:r w:rsidRPr="00C138DE">
        <w:rPr>
          <w:rFonts w:eastAsia="Times New Roman" w:cs="Times New Roman"/>
          <w:lang w:val="id-ID"/>
        </w:rPr>
        <w:t xml:space="preserve"> Java, a </w:t>
      </w:r>
      <w:proofErr w:type="spellStart"/>
      <w:r w:rsidRPr="00C138DE">
        <w:rPr>
          <w:rFonts w:eastAsia="Times New Roman" w:cs="Times New Roman"/>
          <w:lang w:val="id-ID"/>
        </w:rPr>
        <w:t>geographic</w:t>
      </w:r>
      <w:proofErr w:type="spellEnd"/>
      <w:r w:rsidRPr="00C138DE">
        <w:rPr>
          <w:rFonts w:eastAsia="Times New Roman" w:cs="Times New Roman"/>
          <w:lang w:val="id-ID"/>
        </w:rPr>
        <w:t xml:space="preserve"> </w:t>
      </w:r>
      <w:proofErr w:type="spellStart"/>
      <w:r w:rsidRPr="00C138DE">
        <w:rPr>
          <w:rFonts w:eastAsia="Times New Roman" w:cs="Times New Roman"/>
          <w:lang w:val="id-ID"/>
        </w:rPr>
        <w:t>restriction</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that</w:t>
      </w:r>
      <w:proofErr w:type="spellEnd"/>
      <w:r w:rsidRPr="00C138DE">
        <w:rPr>
          <w:rFonts w:eastAsia="Times New Roman" w:cs="Times New Roman"/>
          <w:lang w:val="id-ID"/>
        </w:rPr>
        <w:t xml:space="preserve"> </w:t>
      </w:r>
      <w:proofErr w:type="spellStart"/>
      <w:r w:rsidRPr="00C138DE">
        <w:rPr>
          <w:rFonts w:eastAsia="Times New Roman" w:cs="Times New Roman"/>
          <w:lang w:val="id-ID"/>
        </w:rPr>
        <w:t>may</w:t>
      </w:r>
      <w:proofErr w:type="spellEnd"/>
      <w:r w:rsidRPr="00C138DE">
        <w:rPr>
          <w:rFonts w:eastAsia="Times New Roman" w:cs="Times New Roman"/>
          <w:lang w:val="id-ID"/>
        </w:rPr>
        <w:t xml:space="preserve"> </w:t>
      </w:r>
      <w:proofErr w:type="spellStart"/>
      <w:r w:rsidRPr="00C138DE">
        <w:rPr>
          <w:rFonts w:eastAsia="Times New Roman" w:cs="Times New Roman"/>
          <w:lang w:val="id-ID"/>
        </w:rPr>
        <w:t>attenuate</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w:t>
      </w:r>
      <w:proofErr w:type="spellEnd"/>
      <w:r w:rsidRPr="00C138DE">
        <w:rPr>
          <w:rFonts w:eastAsia="Times New Roman" w:cs="Times New Roman"/>
          <w:lang w:val="id-ID"/>
        </w:rPr>
        <w:t xml:space="preserve"> </w:t>
      </w:r>
      <w:proofErr w:type="spellStart"/>
      <w:r w:rsidRPr="00C138DE">
        <w:rPr>
          <w:rFonts w:eastAsia="Times New Roman" w:cs="Times New Roman"/>
          <w:lang w:val="id-ID"/>
        </w:rPr>
        <w:t>transferability</w:t>
      </w:r>
      <w:proofErr w:type="spellEnd"/>
      <w:r w:rsidRPr="00C138DE">
        <w:rPr>
          <w:rFonts w:eastAsia="Times New Roman" w:cs="Times New Roman"/>
          <w:lang w:val="id-ID"/>
        </w:rPr>
        <w:t xml:space="preserve"> </w:t>
      </w:r>
      <w:proofErr w:type="spellStart"/>
      <w:r w:rsidRPr="00C138DE">
        <w:rPr>
          <w:rFonts w:eastAsia="Times New Roman" w:cs="Times New Roman"/>
          <w:lang w:val="id-ID"/>
        </w:rPr>
        <w:t>of</w:t>
      </w:r>
      <w:proofErr w:type="spellEnd"/>
      <w:r w:rsidRPr="00C138DE">
        <w:rPr>
          <w:rFonts w:eastAsia="Times New Roman" w:cs="Times New Roman"/>
          <w:lang w:val="id-ID"/>
        </w:rPr>
        <w:t xml:space="preserve"> </w:t>
      </w:r>
      <w:proofErr w:type="spellStart"/>
      <w:r w:rsidRPr="00C138DE">
        <w:rPr>
          <w:rFonts w:eastAsia="Times New Roman" w:cs="Times New Roman"/>
          <w:lang w:val="id-ID"/>
        </w:rPr>
        <w:t>these</w:t>
      </w:r>
      <w:proofErr w:type="spellEnd"/>
      <w:r w:rsidRPr="00C138DE">
        <w:rPr>
          <w:rFonts w:eastAsia="Times New Roman" w:cs="Times New Roman"/>
          <w:lang w:val="id-ID"/>
        </w:rPr>
        <w:t xml:space="preserve"> </w:t>
      </w:r>
      <w:proofErr w:type="spellStart"/>
      <w:r w:rsidRPr="00C138DE">
        <w:rPr>
          <w:rFonts w:eastAsia="Times New Roman" w:cs="Times New Roman"/>
          <w:lang w:val="id-ID"/>
        </w:rPr>
        <w:t>results</w:t>
      </w:r>
      <w:proofErr w:type="spellEnd"/>
      <w:r w:rsidRPr="00C138DE">
        <w:rPr>
          <w:rFonts w:eastAsia="Times New Roman" w:cs="Times New Roman"/>
          <w:lang w:val="id-ID"/>
        </w:rPr>
        <w:t xml:space="preserve"> </w:t>
      </w:r>
      <w:proofErr w:type="spellStart"/>
      <w:r w:rsidRPr="00C138DE">
        <w:rPr>
          <w:rFonts w:eastAsia="Times New Roman" w:cs="Times New Roman"/>
          <w:lang w:val="id-ID"/>
        </w:rPr>
        <w:t>to</w:t>
      </w:r>
      <w:proofErr w:type="spellEnd"/>
      <w:r w:rsidRPr="00C138DE">
        <w:rPr>
          <w:rFonts w:eastAsia="Times New Roman" w:cs="Times New Roman"/>
          <w:lang w:val="id-ID"/>
        </w:rPr>
        <w:t xml:space="preserve"> </w:t>
      </w:r>
      <w:proofErr w:type="spellStart"/>
      <w:r w:rsidRPr="00C138DE">
        <w:rPr>
          <w:rFonts w:eastAsia="Times New Roman" w:cs="Times New Roman"/>
          <w:lang w:val="id-ID"/>
        </w:rPr>
        <w:t>populations</w:t>
      </w:r>
      <w:proofErr w:type="spellEnd"/>
      <w:r w:rsidRPr="00C138DE">
        <w:rPr>
          <w:rFonts w:eastAsia="Times New Roman" w:cs="Times New Roman"/>
          <w:lang w:val="id-ID"/>
        </w:rPr>
        <w:t xml:space="preserve"> </w:t>
      </w:r>
      <w:proofErr w:type="spellStart"/>
      <w:r w:rsidRPr="00C138DE">
        <w:rPr>
          <w:rFonts w:eastAsia="Times New Roman" w:cs="Times New Roman"/>
          <w:lang w:val="id-ID"/>
        </w:rPr>
        <w:t>characterized</w:t>
      </w:r>
      <w:proofErr w:type="spellEnd"/>
      <w:r w:rsidRPr="00C138DE">
        <w:rPr>
          <w:rFonts w:eastAsia="Times New Roman" w:cs="Times New Roman"/>
          <w:lang w:val="id-ID"/>
        </w:rPr>
        <w:t xml:space="preserve"> </w:t>
      </w:r>
      <w:proofErr w:type="spellStart"/>
      <w:r w:rsidRPr="00C138DE">
        <w:rPr>
          <w:rFonts w:eastAsia="Times New Roman" w:cs="Times New Roman"/>
          <w:lang w:val="id-ID"/>
        </w:rPr>
        <w:t>by</w:t>
      </w:r>
      <w:proofErr w:type="spellEnd"/>
      <w:r w:rsidRPr="00C138DE">
        <w:rPr>
          <w:rFonts w:eastAsia="Times New Roman" w:cs="Times New Roman"/>
          <w:lang w:val="id-ID"/>
        </w:rPr>
        <w:t xml:space="preserve"> </w:t>
      </w:r>
      <w:proofErr w:type="spellStart"/>
      <w:r w:rsidRPr="00C138DE">
        <w:rPr>
          <w:rFonts w:eastAsia="Times New Roman" w:cs="Times New Roman"/>
          <w:lang w:val="id-ID"/>
        </w:rPr>
        <w:t>different</w:t>
      </w:r>
      <w:proofErr w:type="spellEnd"/>
      <w:r w:rsidRPr="00C138DE">
        <w:rPr>
          <w:rFonts w:eastAsia="Times New Roman" w:cs="Times New Roman"/>
          <w:lang w:val="id-ID"/>
        </w:rPr>
        <w:t xml:space="preserve"> </w:t>
      </w:r>
      <w:proofErr w:type="spellStart"/>
      <w:r w:rsidRPr="00C138DE">
        <w:rPr>
          <w:rFonts w:eastAsia="Times New Roman" w:cs="Times New Roman"/>
          <w:lang w:val="id-ID"/>
        </w:rPr>
        <w:t>ethnic</w:t>
      </w:r>
      <w:proofErr w:type="spellEnd"/>
      <w:r w:rsidRPr="00C138DE">
        <w:rPr>
          <w:rFonts w:eastAsia="Times New Roman" w:cs="Times New Roman"/>
          <w:lang w:val="id-ID"/>
        </w:rPr>
        <w:t xml:space="preserve"> </w:t>
      </w:r>
      <w:proofErr w:type="spellStart"/>
      <w:r w:rsidRPr="00C138DE">
        <w:rPr>
          <w:rFonts w:eastAsia="Times New Roman" w:cs="Times New Roman"/>
          <w:lang w:val="id-ID"/>
        </w:rPr>
        <w:t>profiles</w:t>
      </w:r>
      <w:proofErr w:type="spellEnd"/>
      <w:r w:rsidRPr="00C138DE">
        <w:rPr>
          <w:rFonts w:eastAsia="Times New Roman" w:cs="Times New Roman"/>
          <w:lang w:val="id-ID"/>
        </w:rPr>
        <w:t xml:space="preserve">, </w:t>
      </w:r>
      <w:proofErr w:type="spellStart"/>
      <w:r w:rsidRPr="00C138DE">
        <w:rPr>
          <w:rFonts w:eastAsia="Times New Roman" w:cs="Times New Roman"/>
          <w:lang w:val="id-ID"/>
        </w:rPr>
        <w:t>economic</w:t>
      </w:r>
      <w:proofErr w:type="spellEnd"/>
      <w:r w:rsidRPr="00C138DE">
        <w:rPr>
          <w:rFonts w:eastAsia="Times New Roman" w:cs="Times New Roman"/>
          <w:lang w:val="id-ID"/>
        </w:rPr>
        <w:t xml:space="preserve"> </w:t>
      </w:r>
      <w:proofErr w:type="spellStart"/>
      <w:r w:rsidRPr="00C138DE">
        <w:rPr>
          <w:rFonts w:eastAsia="Times New Roman" w:cs="Times New Roman"/>
          <w:lang w:val="id-ID"/>
        </w:rPr>
        <w:t>conditions</w:t>
      </w:r>
      <w:proofErr w:type="spellEnd"/>
      <w:r w:rsidRPr="00C138DE">
        <w:rPr>
          <w:rFonts w:eastAsia="Times New Roman" w:cs="Times New Roman"/>
          <w:lang w:val="id-ID"/>
        </w:rPr>
        <w:t xml:space="preserve">, </w:t>
      </w:r>
      <w:proofErr w:type="spellStart"/>
      <w:r w:rsidRPr="00C138DE">
        <w:rPr>
          <w:rFonts w:eastAsia="Times New Roman" w:cs="Times New Roman"/>
          <w:lang w:val="id-ID"/>
        </w:rPr>
        <w:t>or</w:t>
      </w:r>
      <w:proofErr w:type="spellEnd"/>
      <w:r w:rsidRPr="00C138DE">
        <w:rPr>
          <w:rFonts w:eastAsia="Times New Roman" w:cs="Times New Roman"/>
          <w:lang w:val="id-ID"/>
        </w:rPr>
        <w:t xml:space="preserve"> </w:t>
      </w:r>
      <w:proofErr w:type="spellStart"/>
      <w:r w:rsidRPr="00C138DE">
        <w:rPr>
          <w:rFonts w:eastAsia="Times New Roman" w:cs="Times New Roman"/>
          <w:lang w:val="id-ID"/>
        </w:rPr>
        <w:t>healthcare</w:t>
      </w:r>
      <w:proofErr w:type="spellEnd"/>
      <w:r w:rsidRPr="00C138DE">
        <w:rPr>
          <w:rFonts w:eastAsia="Times New Roman" w:cs="Times New Roman"/>
          <w:lang w:val="id-ID"/>
        </w:rPr>
        <w:t xml:space="preserve"> </w:t>
      </w:r>
      <w:proofErr w:type="spellStart"/>
      <w:r w:rsidRPr="00C138DE">
        <w:rPr>
          <w:rFonts w:eastAsia="Times New Roman" w:cs="Times New Roman"/>
          <w:lang w:val="id-ID"/>
        </w:rPr>
        <w:t>delivery</w:t>
      </w:r>
      <w:proofErr w:type="spellEnd"/>
      <w:r w:rsidRPr="00C138DE">
        <w:rPr>
          <w:rFonts w:eastAsia="Times New Roman" w:cs="Times New Roman"/>
          <w:lang w:val="id-ID"/>
        </w:rPr>
        <w:t xml:space="preserve"> </w:t>
      </w:r>
      <w:proofErr w:type="spellStart"/>
      <w:r w:rsidRPr="00C138DE">
        <w:rPr>
          <w:rFonts w:eastAsia="Times New Roman" w:cs="Times New Roman"/>
          <w:lang w:val="id-ID"/>
        </w:rPr>
        <w:t>systems</w:t>
      </w:r>
      <w:proofErr w:type="spellEnd"/>
      <w:r w:rsidRPr="00C138DE">
        <w:rPr>
          <w:rFonts w:eastAsia="Times New Roman" w:cs="Times New Roman"/>
          <w:lang w:val="id-ID"/>
        </w:rPr>
        <w:t>.</w:t>
      </w:r>
    </w:p>
    <w:p w14:paraId="56F12271" w14:textId="77777777" w:rsidR="00970DED" w:rsidRPr="00C138DE" w:rsidRDefault="00970DED" w:rsidP="003672CA">
      <w:pPr>
        <w:ind w:left="284" w:right="288" w:firstLine="720"/>
        <w:jc w:val="both"/>
        <w:rPr>
          <w:rFonts w:eastAsia="Times New Roman" w:cs="Times New Roman"/>
          <w:lang w:val="id-ID"/>
        </w:rPr>
      </w:pPr>
    </w:p>
    <w:p w14:paraId="73ED9D4D" w14:textId="77777777" w:rsidR="004E55BE" w:rsidRDefault="004E55BE" w:rsidP="003672CA">
      <w:pPr>
        <w:widowControl/>
        <w:suppressAutoHyphens/>
        <w:jc w:val="center"/>
        <w:rPr>
          <w:b/>
          <w:bCs/>
          <w:lang w:eastAsia="ar-SA"/>
        </w:rPr>
      </w:pPr>
    </w:p>
    <w:p w14:paraId="2D493337" w14:textId="77777777" w:rsidR="004E55BE" w:rsidRDefault="004E55BE" w:rsidP="003672CA">
      <w:pPr>
        <w:widowControl/>
        <w:suppressAutoHyphens/>
        <w:jc w:val="center"/>
        <w:rPr>
          <w:b/>
          <w:bCs/>
          <w:lang w:eastAsia="ar-SA"/>
        </w:rPr>
      </w:pPr>
    </w:p>
    <w:p w14:paraId="6A92168B" w14:textId="7DB8956B" w:rsidR="00C317C4" w:rsidRPr="00C138DE" w:rsidRDefault="00C317C4" w:rsidP="003672CA">
      <w:pPr>
        <w:widowControl/>
        <w:suppressAutoHyphens/>
        <w:jc w:val="center"/>
        <w:rPr>
          <w:b/>
          <w:bCs/>
          <w:lang w:eastAsia="ar-SA"/>
        </w:rPr>
      </w:pPr>
      <w:r w:rsidRPr="00C138DE">
        <w:rPr>
          <w:b/>
          <w:bCs/>
          <w:lang w:eastAsia="ar-SA"/>
        </w:rPr>
        <w:t>CONCLUSION</w:t>
      </w:r>
    </w:p>
    <w:p w14:paraId="747082F1" w14:textId="67824832" w:rsidR="00970DED" w:rsidRPr="00C138DE" w:rsidRDefault="006D0702" w:rsidP="00970DED">
      <w:pPr>
        <w:ind w:left="284" w:right="288" w:firstLine="720"/>
        <w:jc w:val="both"/>
        <w:rPr>
          <w:rFonts w:eastAsia="Times New Roman" w:cs="Times New Roman"/>
          <w:lang w:val="en"/>
        </w:rPr>
      </w:pPr>
      <w:r w:rsidRPr="00C138DE">
        <w:lastRenderedPageBreak/>
        <w:t>Taken together, the data presented in this cross-sectional study demonstrate that sarcopenia has a robust, independent association with cognitive frailty in community-dwelling adults with diabetes, a relationship that persists across age categories. Based on these findings, a strong case can be made for routine co-assessment of sarcopenia and cognitive status within primary care for diabetes management, with the explicit goal of expediting case recognition and delivering preventive interventions at the earliest feasible stage. Acknowledged limitations include the inability to infer causation inherent to the cross-sectional design, as well as the substitution of objective diagnostic gold standards with questionnaire-based screening tools (SARC-F and FRAIL). Establishing the real-world effectiveness and cost–benefit profile of dual screening protocols in primary care will require prospective longitudinal cohorts and well-powered randomized controlled trials before scaled-up adoption can be recommended.</w:t>
      </w:r>
    </w:p>
    <w:p w14:paraId="1A5C8FD3" w14:textId="77777777" w:rsidR="00C317C4" w:rsidRPr="00C138DE" w:rsidRDefault="00C317C4" w:rsidP="003672CA">
      <w:pPr>
        <w:pBdr>
          <w:top w:val="nil"/>
          <w:left w:val="nil"/>
          <w:bottom w:val="nil"/>
          <w:right w:val="nil"/>
          <w:between w:val="nil"/>
        </w:pBdr>
        <w:ind w:left="993"/>
        <w:jc w:val="both"/>
        <w:rPr>
          <w:rFonts w:eastAsia="Times New Roman" w:cs="Times New Roman"/>
        </w:rPr>
      </w:pPr>
    </w:p>
    <w:p w14:paraId="6C064B45" w14:textId="77777777" w:rsidR="00C317C4" w:rsidRPr="00C138DE" w:rsidRDefault="00C317C4" w:rsidP="003672CA">
      <w:pPr>
        <w:widowControl/>
        <w:suppressAutoHyphens/>
        <w:jc w:val="center"/>
        <w:rPr>
          <w:b/>
          <w:bCs/>
          <w:lang w:eastAsia="ar-SA"/>
        </w:rPr>
      </w:pPr>
      <w:r w:rsidRPr="00C138DE">
        <w:rPr>
          <w:b/>
          <w:bCs/>
          <w:lang w:eastAsia="ar-SA"/>
        </w:rPr>
        <w:t>ACKNOWLEDGEMENT</w:t>
      </w:r>
    </w:p>
    <w:p w14:paraId="462C741A" w14:textId="1175E787" w:rsidR="00970DED" w:rsidRPr="00C138DE" w:rsidRDefault="00583CBB" w:rsidP="00970DED">
      <w:pPr>
        <w:ind w:left="284" w:right="288" w:firstLine="720"/>
        <w:jc w:val="both"/>
        <w:rPr>
          <w:rFonts w:eastAsia="Times New Roman" w:cs="Times New Roman"/>
          <w:lang w:val="en"/>
        </w:rPr>
      </w:pPr>
      <w:r w:rsidRPr="00C138DE">
        <w:rPr>
          <w:rFonts w:eastAsia="Times New Roman" w:cs="Times New Roman"/>
          <w:lang w:val="en"/>
        </w:rPr>
        <w:t xml:space="preserve">Financial support for this work was provided by the Institute for Research and Community Service (LPPM) at Universitas Pembangunan Nasional Veteran </w:t>
      </w:r>
      <w:proofErr w:type="spellStart"/>
      <w:r w:rsidRPr="00C138DE">
        <w:rPr>
          <w:rFonts w:eastAsia="Times New Roman" w:cs="Times New Roman"/>
          <w:lang w:val="en"/>
        </w:rPr>
        <w:t>Jawa</w:t>
      </w:r>
      <w:proofErr w:type="spellEnd"/>
      <w:r w:rsidRPr="00C138DE">
        <w:rPr>
          <w:rFonts w:eastAsia="Times New Roman" w:cs="Times New Roman"/>
          <w:lang w:val="en"/>
        </w:rPr>
        <w:t xml:space="preserve"> Timur, awarded under the 2025 Internal Research Grant scheme (No. SPP/37/UN 63.8/LT/V/2025). The authors additionally disclose that artificial intelligence tools were utilized strictly for purposes of English language polishing; no AI-assisted functions beyond linguistic refinement were employed at any stage of this research.</w:t>
      </w:r>
    </w:p>
    <w:p w14:paraId="52F71BD1" w14:textId="77777777" w:rsidR="00C317C4" w:rsidRPr="00C138DE" w:rsidRDefault="00C317C4" w:rsidP="003672CA">
      <w:pPr>
        <w:pBdr>
          <w:top w:val="nil"/>
          <w:left w:val="nil"/>
          <w:bottom w:val="nil"/>
          <w:right w:val="nil"/>
          <w:between w:val="nil"/>
        </w:pBdr>
        <w:rPr>
          <w:rFonts w:eastAsia="Times New Roman" w:cs="Times New Roman"/>
        </w:rPr>
      </w:pPr>
    </w:p>
    <w:p w14:paraId="6CF30DDE" w14:textId="77777777" w:rsidR="00C317C4" w:rsidRPr="00C138DE" w:rsidRDefault="00C317C4" w:rsidP="003672CA">
      <w:pPr>
        <w:widowControl/>
        <w:suppressAutoHyphens/>
        <w:jc w:val="center"/>
        <w:rPr>
          <w:b/>
          <w:bCs/>
          <w:lang w:eastAsia="ar-SA"/>
        </w:rPr>
      </w:pPr>
      <w:r w:rsidRPr="00C138DE">
        <w:rPr>
          <w:b/>
          <w:bCs/>
          <w:lang w:eastAsia="ar-SA"/>
        </w:rPr>
        <w:t>AUTHOR CONTRIBUTION STATEMENT</w:t>
      </w:r>
    </w:p>
    <w:p w14:paraId="436801E6" w14:textId="336611B6" w:rsidR="00C317C4" w:rsidRPr="00C138DE" w:rsidRDefault="00583CBB" w:rsidP="003672CA">
      <w:pPr>
        <w:pBdr>
          <w:top w:val="nil"/>
          <w:left w:val="nil"/>
          <w:bottom w:val="nil"/>
          <w:right w:val="nil"/>
          <w:between w:val="nil"/>
        </w:pBdr>
        <w:ind w:left="285" w:right="419" w:firstLine="719"/>
        <w:jc w:val="both"/>
        <w:rPr>
          <w:rFonts w:eastAsia="Times New Roman" w:cs="Times New Roman"/>
        </w:rPr>
      </w:pPr>
      <w:r w:rsidRPr="00C138DE">
        <w:rPr>
          <w:rFonts w:eastAsia="Times New Roman" w:cs="Times New Roman"/>
        </w:rPr>
        <w:t xml:space="preserve">Every author made a substantive intellectual contribution to the study’s conceptual framework and methodological design. Field data acquisition was the responsibility of Laurentius Johan </w:t>
      </w:r>
      <w:proofErr w:type="spellStart"/>
      <w:r w:rsidRPr="00C138DE">
        <w:rPr>
          <w:rFonts w:eastAsia="Times New Roman" w:cs="Times New Roman"/>
        </w:rPr>
        <w:t>Ardian</w:t>
      </w:r>
      <w:proofErr w:type="spellEnd"/>
      <w:r w:rsidRPr="00C138DE">
        <w:rPr>
          <w:rFonts w:eastAsia="Times New Roman" w:cs="Times New Roman"/>
        </w:rPr>
        <w:t xml:space="preserve">, Fitria Kusuma </w:t>
      </w:r>
      <w:proofErr w:type="spellStart"/>
      <w:r w:rsidRPr="00C138DE">
        <w:rPr>
          <w:rFonts w:eastAsia="Times New Roman" w:cs="Times New Roman"/>
        </w:rPr>
        <w:t>Wardhani</w:t>
      </w:r>
      <w:proofErr w:type="spellEnd"/>
      <w:r w:rsidRPr="00C138DE">
        <w:rPr>
          <w:rFonts w:eastAsia="Times New Roman" w:cs="Times New Roman"/>
        </w:rPr>
        <w:t xml:space="preserve">, and </w:t>
      </w:r>
      <w:proofErr w:type="spellStart"/>
      <w:r w:rsidRPr="00C138DE">
        <w:rPr>
          <w:rFonts w:eastAsia="Times New Roman" w:cs="Times New Roman"/>
        </w:rPr>
        <w:t>Bisarda</w:t>
      </w:r>
      <w:proofErr w:type="spellEnd"/>
      <w:r w:rsidRPr="00C138DE">
        <w:rPr>
          <w:rFonts w:eastAsia="Times New Roman" w:cs="Times New Roman"/>
        </w:rPr>
        <w:t xml:space="preserve"> </w:t>
      </w:r>
      <w:proofErr w:type="spellStart"/>
      <w:r w:rsidRPr="00C138DE">
        <w:rPr>
          <w:rFonts w:eastAsia="Times New Roman" w:cs="Times New Roman"/>
        </w:rPr>
        <w:t>Kanira</w:t>
      </w:r>
      <w:proofErr w:type="spellEnd"/>
      <w:r w:rsidRPr="00C138DE">
        <w:rPr>
          <w:rFonts w:eastAsia="Times New Roman" w:cs="Times New Roman"/>
        </w:rPr>
        <w:t xml:space="preserve">. Quantitative analysis and data interpretation were undertaken by Aura Cinta </w:t>
      </w:r>
      <w:proofErr w:type="spellStart"/>
      <w:r w:rsidRPr="00C138DE">
        <w:rPr>
          <w:rFonts w:eastAsia="Times New Roman" w:cs="Times New Roman"/>
        </w:rPr>
        <w:t>Jihada</w:t>
      </w:r>
      <w:proofErr w:type="spellEnd"/>
      <w:r w:rsidRPr="00C138DE">
        <w:rPr>
          <w:rFonts w:eastAsia="Times New Roman" w:cs="Times New Roman"/>
        </w:rPr>
        <w:t xml:space="preserve"> and Tia Maya </w:t>
      </w:r>
      <w:proofErr w:type="spellStart"/>
      <w:r w:rsidRPr="00C138DE">
        <w:rPr>
          <w:rFonts w:eastAsia="Times New Roman" w:cs="Times New Roman"/>
        </w:rPr>
        <w:t>Affrita</w:t>
      </w:r>
      <w:proofErr w:type="spellEnd"/>
      <w:r w:rsidRPr="00C138DE">
        <w:rPr>
          <w:rFonts w:eastAsia="Times New Roman" w:cs="Times New Roman"/>
        </w:rPr>
        <w:t xml:space="preserve">. Laurentius Johan </w:t>
      </w:r>
      <w:proofErr w:type="spellStart"/>
      <w:r w:rsidRPr="00C138DE">
        <w:rPr>
          <w:rFonts w:eastAsia="Times New Roman" w:cs="Times New Roman"/>
        </w:rPr>
        <w:t>Ardian</w:t>
      </w:r>
      <w:proofErr w:type="spellEnd"/>
      <w:r w:rsidRPr="00C138DE">
        <w:rPr>
          <w:rFonts w:eastAsia="Times New Roman" w:cs="Times New Roman"/>
        </w:rPr>
        <w:t xml:space="preserve"> prepared the original manuscript draft; all co-authors critically reviewed successive iterations and gave formal approval to the definitive version submitted for publication.</w:t>
      </w:r>
    </w:p>
    <w:p w14:paraId="5D8CE2A4" w14:textId="77777777" w:rsidR="007F3D2D" w:rsidRPr="00C138DE" w:rsidRDefault="007F3D2D" w:rsidP="000C726C">
      <w:pPr>
        <w:pBdr>
          <w:top w:val="nil"/>
          <w:left w:val="nil"/>
          <w:bottom w:val="nil"/>
          <w:right w:val="nil"/>
          <w:between w:val="nil"/>
        </w:pBdr>
        <w:ind w:right="419"/>
        <w:jc w:val="both"/>
        <w:rPr>
          <w:rFonts w:eastAsia="Times New Roman" w:cs="Times New Roman"/>
        </w:rPr>
      </w:pPr>
    </w:p>
    <w:p w14:paraId="7894D5B2" w14:textId="77777777" w:rsidR="00C317C4" w:rsidRPr="00C138DE" w:rsidRDefault="00C317C4" w:rsidP="003672CA">
      <w:pPr>
        <w:widowControl/>
        <w:suppressAutoHyphens/>
        <w:jc w:val="center"/>
        <w:rPr>
          <w:b/>
          <w:bCs/>
          <w:lang w:eastAsia="ar-SA"/>
        </w:rPr>
      </w:pPr>
      <w:r w:rsidRPr="00C138DE">
        <w:rPr>
          <w:b/>
          <w:bCs/>
          <w:lang w:eastAsia="ar-SA"/>
        </w:rPr>
        <w:t>REFERENCES</w:t>
      </w:r>
    </w:p>
    <w:p w14:paraId="7EEE8A42" w14:textId="0458D174" w:rsidR="007F453E" w:rsidRPr="00C138DE" w:rsidRDefault="005C1BB9" w:rsidP="004E55BE">
      <w:pPr>
        <w:adjustRightInd w:val="0"/>
        <w:ind w:left="851" w:right="278" w:hanging="581"/>
        <w:jc w:val="both"/>
        <w:rPr>
          <w:rFonts w:cs="Times New Roman"/>
          <w:noProof/>
        </w:rPr>
      </w:pPr>
      <w:r w:rsidRPr="00C138DE">
        <w:rPr>
          <w:b/>
          <w:bCs/>
          <w:lang w:eastAsia="ar-SA"/>
        </w:rPr>
        <w:fldChar w:fldCharType="begin" w:fldLock="1"/>
      </w:r>
      <w:r w:rsidRPr="00C138DE">
        <w:rPr>
          <w:b/>
          <w:bCs/>
          <w:lang w:val="fi-FI" w:eastAsia="ar-SA"/>
        </w:rPr>
        <w:instrText xml:space="preserve">ADDIN Mendeley Bibliography CSL_BIBLIOGRAPHY </w:instrText>
      </w:r>
      <w:r w:rsidRPr="00C138DE">
        <w:rPr>
          <w:b/>
          <w:bCs/>
          <w:lang w:eastAsia="ar-SA"/>
        </w:rPr>
        <w:fldChar w:fldCharType="separate"/>
      </w:r>
      <w:bookmarkStart w:id="3" w:name="Barros"/>
      <w:r w:rsidR="007F453E" w:rsidRPr="00C138DE">
        <w:rPr>
          <w:rFonts w:cs="Times New Roman"/>
          <w:noProof/>
          <w:lang w:val="fi-FI"/>
        </w:rPr>
        <w:t xml:space="preserve">Barros, A. J., &amp; Hirakata, V. N. (2003). </w:t>
      </w:r>
      <w:r w:rsidR="007F453E" w:rsidRPr="00C138DE">
        <w:rPr>
          <w:rFonts w:cs="Times New Roman"/>
          <w:noProof/>
        </w:rPr>
        <w:t xml:space="preserve">Alternatives for logistic regression in cross-sectional studies: An empirical comparison of models that directly estimate the prevalence ratio. </w:t>
      </w:r>
      <w:r w:rsidR="007F453E" w:rsidRPr="00C138DE">
        <w:rPr>
          <w:rFonts w:cs="Times New Roman"/>
          <w:i/>
          <w:iCs/>
          <w:noProof/>
        </w:rPr>
        <w:t>BMC Medical Research Methodology, 3</w:t>
      </w:r>
      <w:r w:rsidR="007F453E" w:rsidRPr="00C138DE">
        <w:rPr>
          <w:rFonts w:cs="Times New Roman"/>
          <w:noProof/>
        </w:rPr>
        <w:t xml:space="preserve">(1), 21. </w:t>
      </w:r>
      <w:hyperlink r:id="rId11" w:tgtFrame="_new" w:history="1">
        <w:r w:rsidR="007F453E" w:rsidRPr="00C138DE">
          <w:rPr>
            <w:rStyle w:val="Hyperlink"/>
            <w:rFonts w:cs="Times New Roman"/>
            <w:noProof/>
            <w:color w:val="auto"/>
            <w:u w:val="none"/>
          </w:rPr>
          <w:t>https://doi.org/10.1186/1471-2288-3-21</w:t>
        </w:r>
      </w:hyperlink>
      <w:bookmarkEnd w:id="3"/>
    </w:p>
    <w:p w14:paraId="7DDC0290" w14:textId="203B043C" w:rsidR="00250724" w:rsidRPr="00C138DE" w:rsidRDefault="007F453E" w:rsidP="004E55BE">
      <w:pPr>
        <w:adjustRightInd w:val="0"/>
        <w:ind w:left="851" w:right="278" w:hanging="581"/>
        <w:jc w:val="both"/>
        <w:rPr>
          <w:rFonts w:cs="Times New Roman"/>
          <w:noProof/>
        </w:rPr>
      </w:pPr>
      <w:bookmarkStart w:id="4" w:name="Bian"/>
      <w:r w:rsidRPr="00C138DE">
        <w:rPr>
          <w:rFonts w:cs="Times New Roman"/>
          <w:noProof/>
        </w:rPr>
        <w:t>B</w:t>
      </w:r>
      <w:r w:rsidR="00250724" w:rsidRPr="00C138DE">
        <w:rPr>
          <w:rFonts w:cs="Times New Roman"/>
          <w:noProof/>
        </w:rPr>
        <w:t xml:space="preserve">ian, J., Chen, Z., Gao, Y., Lau, F. Y., Fong, D. Y. T., Choi, E. P. H., &amp; Chau, P. H. (2026). Prevalence of cognitive frailty, reversible and potentially reversible cognitive frailty among older adults without dementia: a systematic review and meta-analysis. </w:t>
      </w:r>
      <w:r w:rsidR="00250724" w:rsidRPr="00C138DE">
        <w:rPr>
          <w:rFonts w:cs="Times New Roman"/>
          <w:i/>
          <w:iCs/>
          <w:noProof/>
        </w:rPr>
        <w:t>The Journals of Gerontology, Series B: Psychological Sciences and Social Sciences</w:t>
      </w:r>
      <w:r w:rsidR="00250724" w:rsidRPr="00C138DE">
        <w:rPr>
          <w:rFonts w:cs="Times New Roman"/>
          <w:noProof/>
        </w:rPr>
        <w:t xml:space="preserve">, </w:t>
      </w:r>
      <w:r w:rsidR="00250724" w:rsidRPr="00C138DE">
        <w:rPr>
          <w:rFonts w:cs="Times New Roman"/>
          <w:i/>
          <w:iCs/>
          <w:noProof/>
        </w:rPr>
        <w:t>81</w:t>
      </w:r>
      <w:r w:rsidR="00250724" w:rsidRPr="00C138DE">
        <w:rPr>
          <w:rFonts w:cs="Times New Roman"/>
          <w:noProof/>
        </w:rPr>
        <w:t>(1), gbaf228.</w:t>
      </w:r>
      <w:bookmarkEnd w:id="4"/>
    </w:p>
    <w:p w14:paraId="7C5B42AC" w14:textId="77777777" w:rsidR="00250724" w:rsidRPr="00C138DE" w:rsidRDefault="00250724" w:rsidP="004E55BE">
      <w:pPr>
        <w:adjustRightInd w:val="0"/>
        <w:ind w:left="851" w:right="278" w:hanging="581"/>
        <w:jc w:val="both"/>
        <w:rPr>
          <w:rFonts w:cs="Times New Roman"/>
          <w:noProof/>
        </w:rPr>
      </w:pPr>
      <w:bookmarkStart w:id="5" w:name="Bu"/>
      <w:r w:rsidRPr="00C138DE">
        <w:rPr>
          <w:rFonts w:cs="Times New Roman"/>
          <w:noProof/>
        </w:rPr>
        <w:t xml:space="preserve">Bu, F., Deng, X., Zhan, N., Cheng, H., Wang, Z., Tang, L., Zhao, Y., &amp; Lyu, Q. (2023). Development and validation of a risk prediction model for frailty in patients with diabetes. </w:t>
      </w:r>
      <w:r w:rsidRPr="00C138DE">
        <w:rPr>
          <w:rFonts w:cs="Times New Roman"/>
          <w:i/>
          <w:iCs/>
          <w:noProof/>
        </w:rPr>
        <w:t>BMC Geriatrics</w:t>
      </w:r>
      <w:r w:rsidRPr="00C138DE">
        <w:rPr>
          <w:rFonts w:cs="Times New Roman"/>
          <w:noProof/>
        </w:rPr>
        <w:t xml:space="preserve">, </w:t>
      </w:r>
      <w:r w:rsidRPr="00C138DE">
        <w:rPr>
          <w:rFonts w:cs="Times New Roman"/>
          <w:i/>
          <w:iCs/>
          <w:noProof/>
        </w:rPr>
        <w:t>23</w:t>
      </w:r>
      <w:r w:rsidRPr="00C138DE">
        <w:rPr>
          <w:rFonts w:cs="Times New Roman"/>
          <w:noProof/>
        </w:rPr>
        <w:t>(1), 172.</w:t>
      </w:r>
      <w:bookmarkEnd w:id="5"/>
    </w:p>
    <w:p w14:paraId="5419C422" w14:textId="77777777" w:rsidR="00250724" w:rsidRPr="00C138DE" w:rsidRDefault="00250724" w:rsidP="004E55BE">
      <w:pPr>
        <w:adjustRightInd w:val="0"/>
        <w:ind w:left="851" w:right="278" w:hanging="581"/>
        <w:jc w:val="both"/>
        <w:rPr>
          <w:rFonts w:cs="Times New Roman"/>
          <w:noProof/>
        </w:rPr>
      </w:pPr>
      <w:bookmarkStart w:id="6" w:name="Cigolle"/>
      <w:r w:rsidRPr="00C138DE">
        <w:rPr>
          <w:rFonts w:cs="Times New Roman"/>
          <w:noProof/>
        </w:rPr>
        <w:t xml:space="preserve">Cigolle, C. T., Lee, P. G., Langa, K. M., Lee, Y.-Y., Tian, Z., &amp; Blaum, C. S. (2011). Geriatric conditions develop in middle-aged adults with diabetes. </w:t>
      </w:r>
      <w:r w:rsidRPr="00C138DE">
        <w:rPr>
          <w:rFonts w:cs="Times New Roman"/>
          <w:i/>
          <w:iCs/>
          <w:noProof/>
        </w:rPr>
        <w:t>Journal of General Internal Medicine</w:t>
      </w:r>
      <w:r w:rsidRPr="00C138DE">
        <w:rPr>
          <w:rFonts w:cs="Times New Roman"/>
          <w:noProof/>
        </w:rPr>
        <w:t xml:space="preserve">, </w:t>
      </w:r>
      <w:r w:rsidRPr="00C138DE">
        <w:rPr>
          <w:rFonts w:cs="Times New Roman"/>
          <w:i/>
          <w:iCs/>
          <w:noProof/>
        </w:rPr>
        <w:t>26</w:t>
      </w:r>
      <w:r w:rsidRPr="00C138DE">
        <w:rPr>
          <w:rFonts w:cs="Times New Roman"/>
          <w:noProof/>
        </w:rPr>
        <w:t>(3), 272–279</w:t>
      </w:r>
      <w:bookmarkEnd w:id="6"/>
      <w:r w:rsidRPr="00C138DE">
        <w:rPr>
          <w:rFonts w:cs="Times New Roman"/>
          <w:noProof/>
        </w:rPr>
        <w:t>.</w:t>
      </w:r>
    </w:p>
    <w:p w14:paraId="7B862BBB" w14:textId="77777777" w:rsidR="00250724" w:rsidRPr="00C138DE" w:rsidRDefault="00250724" w:rsidP="004E55BE">
      <w:pPr>
        <w:adjustRightInd w:val="0"/>
        <w:ind w:left="851" w:right="278" w:hanging="581"/>
        <w:jc w:val="both"/>
        <w:rPr>
          <w:rFonts w:cs="Times New Roman"/>
          <w:noProof/>
        </w:rPr>
      </w:pPr>
      <w:bookmarkStart w:id="7" w:name="Corral"/>
      <w:r w:rsidRPr="00C138DE">
        <w:rPr>
          <w:rFonts w:cs="Times New Roman"/>
          <w:noProof/>
        </w:rPr>
        <w:t xml:space="preserve">Corral-Pérez, J., Casals, C., Ávila-Cabeza-de-Vaca, L., González-Mariscal, A., Martínez-Zaragoza, I., Villa-Estrada, F., Reina-Campos, R., &amp; Vázquez-Sánchez, M. Á. (2023). Health factors associated with cognitive frailty in older adults living in the community. </w:t>
      </w:r>
      <w:r w:rsidRPr="00C138DE">
        <w:rPr>
          <w:rFonts w:cs="Times New Roman"/>
          <w:i/>
          <w:iCs/>
          <w:noProof/>
        </w:rPr>
        <w:t>Frontiers in Aging Neuroscience</w:t>
      </w:r>
      <w:r w:rsidRPr="00C138DE">
        <w:rPr>
          <w:rFonts w:cs="Times New Roman"/>
          <w:noProof/>
        </w:rPr>
        <w:t xml:space="preserve">, </w:t>
      </w:r>
      <w:r w:rsidRPr="00C138DE">
        <w:rPr>
          <w:rFonts w:cs="Times New Roman"/>
          <w:i/>
          <w:iCs/>
          <w:noProof/>
        </w:rPr>
        <w:t>15</w:t>
      </w:r>
      <w:r w:rsidRPr="00C138DE">
        <w:rPr>
          <w:rFonts w:cs="Times New Roman"/>
          <w:noProof/>
        </w:rPr>
        <w:t>, 1232460.</w:t>
      </w:r>
      <w:bookmarkEnd w:id="7"/>
    </w:p>
    <w:p w14:paraId="6548ADE7" w14:textId="77777777" w:rsidR="00250724" w:rsidRPr="00C138DE" w:rsidRDefault="00250724" w:rsidP="004E55BE">
      <w:pPr>
        <w:adjustRightInd w:val="0"/>
        <w:ind w:left="851" w:right="278" w:hanging="581"/>
        <w:jc w:val="both"/>
        <w:rPr>
          <w:rFonts w:cs="Times New Roman"/>
          <w:noProof/>
        </w:rPr>
      </w:pPr>
      <w:bookmarkStart w:id="8" w:name="Dong"/>
      <w:r w:rsidRPr="00C138DE">
        <w:rPr>
          <w:rFonts w:cs="Times New Roman"/>
          <w:noProof/>
        </w:rPr>
        <w:t xml:space="preserve">Dong, X., Yu, Y., Li, J., Chai, X., Shan, W., Yan, H., &amp; Lu, Y. (2024). A study of the correlation between sarcopenia and cognitive impairment in older individuals over 60 years: cross-sectional and longitudinal validation. </w:t>
      </w:r>
      <w:r w:rsidRPr="00C138DE">
        <w:rPr>
          <w:rFonts w:cs="Times New Roman"/>
          <w:i/>
          <w:iCs/>
          <w:noProof/>
        </w:rPr>
        <w:t>Frontiers in Aging Neuroscience</w:t>
      </w:r>
      <w:r w:rsidRPr="00C138DE">
        <w:rPr>
          <w:rFonts w:cs="Times New Roman"/>
          <w:noProof/>
        </w:rPr>
        <w:t xml:space="preserve">, </w:t>
      </w:r>
      <w:r w:rsidRPr="00C138DE">
        <w:rPr>
          <w:rFonts w:cs="Times New Roman"/>
          <w:i/>
          <w:iCs/>
          <w:noProof/>
        </w:rPr>
        <w:t>16</w:t>
      </w:r>
      <w:r w:rsidRPr="00C138DE">
        <w:rPr>
          <w:rFonts w:cs="Times New Roman"/>
          <w:noProof/>
        </w:rPr>
        <w:t>, 1489185.</w:t>
      </w:r>
    </w:p>
    <w:p w14:paraId="30445242" w14:textId="77777777" w:rsidR="00250724" w:rsidRPr="00C138DE" w:rsidRDefault="00250724" w:rsidP="004E55BE">
      <w:pPr>
        <w:adjustRightInd w:val="0"/>
        <w:ind w:left="851" w:right="278" w:hanging="581"/>
        <w:jc w:val="both"/>
        <w:rPr>
          <w:rFonts w:cs="Times New Roman"/>
          <w:noProof/>
        </w:rPr>
      </w:pPr>
      <w:bookmarkStart w:id="9" w:name="Elmaleh"/>
      <w:bookmarkEnd w:id="8"/>
      <w:r w:rsidRPr="00C138DE">
        <w:rPr>
          <w:rFonts w:cs="Times New Roman"/>
          <w:noProof/>
        </w:rPr>
        <w:t xml:space="preserve">Elmaleh, D. mostafa, &amp; Mohamed, D. M. A. (2025). Sarcopenia and frailty as predictor of outcome in critically ill elderly patients with multiple comorbidities. </w:t>
      </w:r>
      <w:r w:rsidRPr="00C138DE">
        <w:rPr>
          <w:rFonts w:cs="Times New Roman"/>
          <w:i/>
          <w:iCs/>
          <w:noProof/>
        </w:rPr>
        <w:t>The Egyptian Journal of Internal Medicine</w:t>
      </w:r>
      <w:r w:rsidRPr="00C138DE">
        <w:rPr>
          <w:rFonts w:cs="Times New Roman"/>
          <w:noProof/>
        </w:rPr>
        <w:t xml:space="preserve">, </w:t>
      </w:r>
      <w:r w:rsidRPr="00C138DE">
        <w:rPr>
          <w:rFonts w:cs="Times New Roman"/>
          <w:i/>
          <w:iCs/>
          <w:noProof/>
        </w:rPr>
        <w:t>37</w:t>
      </w:r>
      <w:r w:rsidRPr="00C138DE">
        <w:rPr>
          <w:rFonts w:cs="Times New Roman"/>
          <w:noProof/>
        </w:rPr>
        <w:t>(1), 3. https://doi.org/10.1186/s43162-025-00259-1</w:t>
      </w:r>
      <w:bookmarkEnd w:id="9"/>
    </w:p>
    <w:p w14:paraId="48147190" w14:textId="77777777" w:rsidR="00250724" w:rsidRPr="00C138DE" w:rsidRDefault="00250724" w:rsidP="004E55BE">
      <w:pPr>
        <w:adjustRightInd w:val="0"/>
        <w:ind w:left="851" w:right="278" w:hanging="581"/>
        <w:jc w:val="both"/>
        <w:rPr>
          <w:rFonts w:cs="Times New Roman"/>
          <w:noProof/>
        </w:rPr>
      </w:pPr>
      <w:bookmarkStart w:id="10" w:name="Fried"/>
      <w:r w:rsidRPr="00C138DE">
        <w:rPr>
          <w:rFonts w:cs="Times New Roman"/>
          <w:noProof/>
        </w:rPr>
        <w:t xml:space="preserve">Fried, L. P., Tangen, C. M., Walston, J., Newman, A. B., Hirsch, C., Gottdiener, J., Seeman, T., Tracy, R., Kop, W. J., &amp; Burke, G. (2001). Frailty in older adults: evidence for a phenotype. </w:t>
      </w:r>
      <w:r w:rsidRPr="00C138DE">
        <w:rPr>
          <w:rFonts w:cs="Times New Roman"/>
          <w:i/>
          <w:iCs/>
          <w:noProof/>
        </w:rPr>
        <w:t>The Journals of Gerontology Series a: Biological Sciences and Medical Sciences</w:t>
      </w:r>
      <w:r w:rsidRPr="00C138DE">
        <w:rPr>
          <w:rFonts w:cs="Times New Roman"/>
          <w:noProof/>
        </w:rPr>
        <w:t xml:space="preserve">, </w:t>
      </w:r>
      <w:r w:rsidRPr="00C138DE">
        <w:rPr>
          <w:rFonts w:cs="Times New Roman"/>
          <w:i/>
          <w:iCs/>
          <w:noProof/>
        </w:rPr>
        <w:t>56</w:t>
      </w:r>
      <w:r w:rsidRPr="00C138DE">
        <w:rPr>
          <w:rFonts w:cs="Times New Roman"/>
          <w:noProof/>
        </w:rPr>
        <w:t xml:space="preserve">(3), M146–M157. </w:t>
      </w:r>
      <w:r w:rsidRPr="00C138DE">
        <w:rPr>
          <w:rFonts w:cs="Times New Roman"/>
          <w:noProof/>
        </w:rPr>
        <w:lastRenderedPageBreak/>
        <w:t>https://doi.org/10.1093/gerona/56.3.m146</w:t>
      </w:r>
    </w:p>
    <w:p w14:paraId="53557502" w14:textId="77777777" w:rsidR="00250724" w:rsidRPr="00C138DE" w:rsidRDefault="00250724" w:rsidP="004E55BE">
      <w:pPr>
        <w:adjustRightInd w:val="0"/>
        <w:ind w:left="851" w:right="278" w:hanging="581"/>
        <w:jc w:val="both"/>
        <w:rPr>
          <w:rFonts w:cs="Times New Roman"/>
          <w:noProof/>
        </w:rPr>
      </w:pPr>
      <w:bookmarkStart w:id="11" w:name="Gaspar"/>
      <w:bookmarkEnd w:id="10"/>
      <w:r w:rsidRPr="00C138DE">
        <w:rPr>
          <w:rFonts w:cs="Times New Roman"/>
          <w:noProof/>
        </w:rPr>
        <w:t xml:space="preserve">Gaspar, P. M., Campos-Magdaleno, M., Pereiro, A. X., Facal, D., &amp; Juncos-Rabadán, O. (2022). Cognitive reserve and mental health in cognitive frailty phenotypes: Insights from a study with a Portuguese sample. </w:t>
      </w:r>
      <w:r w:rsidRPr="00C138DE">
        <w:rPr>
          <w:rFonts w:cs="Times New Roman"/>
          <w:i/>
          <w:iCs/>
          <w:noProof/>
        </w:rPr>
        <w:t>Frontiers in Psychology</w:t>
      </w:r>
      <w:r w:rsidRPr="00C138DE">
        <w:rPr>
          <w:rFonts w:cs="Times New Roman"/>
          <w:noProof/>
        </w:rPr>
        <w:t xml:space="preserve">, </w:t>
      </w:r>
      <w:r w:rsidRPr="00C138DE">
        <w:rPr>
          <w:rFonts w:cs="Times New Roman"/>
          <w:i/>
          <w:iCs/>
          <w:noProof/>
        </w:rPr>
        <w:t>13</w:t>
      </w:r>
      <w:r w:rsidRPr="00C138DE">
        <w:rPr>
          <w:rFonts w:cs="Times New Roman"/>
          <w:noProof/>
        </w:rPr>
        <w:t>, 968343. https://doi.org/10.3389/fpsyg.2022.968343</w:t>
      </w:r>
    </w:p>
    <w:bookmarkEnd w:id="11"/>
    <w:p w14:paraId="771FA1C6" w14:textId="0C0A0EC6" w:rsidR="00250724" w:rsidRPr="00C138DE" w:rsidRDefault="00250724" w:rsidP="004E55BE">
      <w:pPr>
        <w:adjustRightInd w:val="0"/>
        <w:ind w:left="851" w:right="278" w:hanging="581"/>
        <w:jc w:val="both"/>
        <w:rPr>
          <w:noProof/>
        </w:rPr>
      </w:pPr>
      <w:r w:rsidRPr="00C138DE">
        <w:rPr>
          <w:noProof/>
        </w:rPr>
        <w:t>Grobbee, D. E., &amp; Hoes, A. W. (2014). Clinical epidemiology: Principles, methods, and applications for clinical research. Jones &amp; Bartlett Publishers.</w:t>
      </w:r>
    </w:p>
    <w:p w14:paraId="510EC09D" w14:textId="77777777" w:rsidR="00250724" w:rsidRPr="00C138DE" w:rsidRDefault="00250724" w:rsidP="004E55BE">
      <w:pPr>
        <w:adjustRightInd w:val="0"/>
        <w:ind w:left="851" w:right="278" w:hanging="581"/>
        <w:jc w:val="both"/>
        <w:rPr>
          <w:noProof/>
        </w:rPr>
      </w:pPr>
      <w:bookmarkStart w:id="12" w:name="Hanna"/>
      <w:r w:rsidRPr="00C138DE">
        <w:rPr>
          <w:noProof/>
        </w:rPr>
        <w:t>Hanna, R. M., Ghobry, L., Wassef, O., Rhee, C. M., &amp; Kalantar-Zadeh, K. (2020). Renal replacement therapy preferences survey: Is allo-hemodialysis an acceptable option for patient caregivers and health care professionals? Blood Purification, 49(1–2), 202–211. https://doi.org/10.1159/000504326</w:t>
      </w:r>
    </w:p>
    <w:p w14:paraId="26C619DE" w14:textId="78FF15F6" w:rsidR="00250724" w:rsidRPr="00C138DE" w:rsidRDefault="00250724" w:rsidP="004E55BE">
      <w:pPr>
        <w:adjustRightInd w:val="0"/>
        <w:ind w:left="851" w:right="278" w:hanging="581"/>
        <w:jc w:val="both"/>
        <w:rPr>
          <w:noProof/>
        </w:rPr>
      </w:pPr>
      <w:bookmarkStart w:id="13" w:name="Hardi"/>
      <w:bookmarkEnd w:id="12"/>
      <w:r w:rsidRPr="00C138DE">
        <w:rPr>
          <w:noProof/>
        </w:rPr>
        <w:t xml:space="preserve">Hardi, N., Kristian, K., William, F., Theresia, F., Angelica, P., Kuistono, J. A., Irawan, M. A., &amp; Handayani, Y. S. (2025). Cognitive frailty in urban community-dwelling older adults: Associated physical and psychological risk factors. Journal of Family and Community Medicine, 32(4), 316–323. https://doi.org/10.4103/jfcm.jfcm_XXX </w:t>
      </w:r>
    </w:p>
    <w:p w14:paraId="28A71E60" w14:textId="77777777" w:rsidR="00250724" w:rsidRPr="00C138DE" w:rsidRDefault="00250724" w:rsidP="004E55BE">
      <w:pPr>
        <w:adjustRightInd w:val="0"/>
        <w:ind w:left="851" w:right="278" w:hanging="581"/>
        <w:jc w:val="both"/>
        <w:rPr>
          <w:noProof/>
        </w:rPr>
      </w:pPr>
      <w:bookmarkStart w:id="14" w:name="Karp"/>
      <w:bookmarkEnd w:id="13"/>
      <w:r w:rsidRPr="00C138DE">
        <w:rPr>
          <w:noProof/>
        </w:rPr>
        <w:t>Karp, I. (2014). Re: Estimating the relative risk in cohort studies and clinical trials of common outcomes. American Journal of Epidemiology, 179(8), 1034–1035. https://doi.org/10.1093/aje/kwu038</w:t>
      </w:r>
      <w:bookmarkEnd w:id="14"/>
    </w:p>
    <w:p w14:paraId="0BAD8917" w14:textId="0317FDD8" w:rsidR="00250724" w:rsidRPr="00C138DE" w:rsidRDefault="00250724" w:rsidP="004E55BE">
      <w:pPr>
        <w:adjustRightInd w:val="0"/>
        <w:ind w:left="851" w:right="278" w:hanging="581"/>
        <w:jc w:val="both"/>
        <w:rPr>
          <w:noProof/>
        </w:rPr>
      </w:pPr>
      <w:bookmarkStart w:id="15" w:name="Kelaiditi"/>
      <w:r w:rsidRPr="00C138DE">
        <w:rPr>
          <w:noProof/>
        </w:rPr>
        <w:t>Kelaiditi, E., et al. (2013). Cognitive frailty: Rationale and definition from an (IANA/IAGG) international consensus group. The Journal of Nutrition, Health and Aging, 17(9), 726–734. https://doi.org/10.1007/s12603-013-0367-2</w:t>
      </w:r>
    </w:p>
    <w:p w14:paraId="6B4917CD" w14:textId="3555AB88" w:rsidR="00250724" w:rsidRPr="00C138DE" w:rsidRDefault="009C2791" w:rsidP="004E55BE">
      <w:pPr>
        <w:adjustRightInd w:val="0"/>
        <w:ind w:left="851" w:right="278" w:hanging="581"/>
        <w:jc w:val="both"/>
        <w:rPr>
          <w:noProof/>
        </w:rPr>
      </w:pPr>
      <w:bookmarkStart w:id="16" w:name="Liccini"/>
      <w:bookmarkEnd w:id="15"/>
      <w:r w:rsidRPr="00C138DE">
        <w:rPr>
          <w:noProof/>
        </w:rPr>
        <w:t>Liccini</w:t>
      </w:r>
      <w:r w:rsidR="00250724" w:rsidRPr="00C138DE">
        <w:rPr>
          <w:noProof/>
        </w:rPr>
        <w:t>, A. P., &amp; Malmstrom, T. K. (2016). Frailty and sarcopenia as predictors of adverse health outcomes in persons with diabetes mellitus. Journal of the American Medical Directors Association, 17(9), 846–851. https://doi.org/10.1016/j.jamda.2016.04.007</w:t>
      </w:r>
    </w:p>
    <w:p w14:paraId="53158140" w14:textId="77777777" w:rsidR="00250724" w:rsidRPr="00C138DE" w:rsidRDefault="00250724" w:rsidP="004E55BE">
      <w:pPr>
        <w:adjustRightInd w:val="0"/>
        <w:ind w:left="851" w:right="278" w:hanging="581"/>
        <w:jc w:val="both"/>
        <w:rPr>
          <w:noProof/>
        </w:rPr>
      </w:pPr>
      <w:bookmarkStart w:id="17" w:name="Liu"/>
      <w:bookmarkEnd w:id="16"/>
      <w:r w:rsidRPr="00C138DE">
        <w:rPr>
          <w:noProof/>
          <w:lang w:val="fi-FI"/>
        </w:rPr>
        <w:t xml:space="preserve">Liu, H., Fan, Y., Liang, J., et al. </w:t>
      </w:r>
      <w:r w:rsidRPr="00C138DE">
        <w:rPr>
          <w:noProof/>
        </w:rPr>
        <w:t>(2024). A causal relationship between sarcopenia and cognitive impairment: A Mendelian randomization study. PLoS One, 19(9), e0309124. https://doi.org/10.1371/journal.pone.0309124</w:t>
      </w:r>
      <w:bookmarkEnd w:id="17"/>
    </w:p>
    <w:p w14:paraId="24ABFC8B" w14:textId="77777777" w:rsidR="00250724" w:rsidRPr="00C138DE" w:rsidRDefault="00250724" w:rsidP="004E55BE">
      <w:pPr>
        <w:adjustRightInd w:val="0"/>
        <w:ind w:left="851" w:right="278" w:hanging="581"/>
        <w:jc w:val="both"/>
        <w:rPr>
          <w:noProof/>
        </w:rPr>
      </w:pPr>
      <w:bookmarkStart w:id="18" w:name="Lu"/>
      <w:r w:rsidRPr="00C138DE">
        <w:rPr>
          <w:noProof/>
          <w:lang w:val="fi-FI"/>
        </w:rPr>
        <w:t xml:space="preserve">Lu, C., Liu, W., Cang, X., et al. </w:t>
      </w:r>
      <w:r w:rsidRPr="00C138DE">
        <w:rPr>
          <w:noProof/>
        </w:rPr>
        <w:t>(2024). The bidirectional associations between sarcopenia-related traits and cognitive performance. Scientific Reports, 14, 7591. https://doi.org/10.1038/s41598-024-57591-2</w:t>
      </w:r>
    </w:p>
    <w:p w14:paraId="3B5EE806" w14:textId="77777777" w:rsidR="00250724" w:rsidRPr="00C138DE" w:rsidRDefault="00250724" w:rsidP="004E55BE">
      <w:pPr>
        <w:adjustRightInd w:val="0"/>
        <w:ind w:left="851" w:right="278" w:hanging="581"/>
        <w:jc w:val="both"/>
        <w:rPr>
          <w:noProof/>
        </w:rPr>
      </w:pPr>
      <w:bookmarkStart w:id="19" w:name="Mei"/>
      <w:bookmarkEnd w:id="18"/>
      <w:r w:rsidRPr="00C138DE">
        <w:rPr>
          <w:noProof/>
          <w:lang w:val="fi-FI"/>
        </w:rPr>
        <w:t xml:space="preserve">Mei, F., Gao, Q., Chen, F., et al. </w:t>
      </w:r>
      <w:r w:rsidRPr="00C138DE">
        <w:rPr>
          <w:noProof/>
        </w:rPr>
        <w:t>(2021). Frailty as a predictor of negative health outcomes in chronic kidney disease: A systematic review and meta-analysis. Journal of the American Medical Directors Association, 22(3), 535–543. https://doi.org/10.1016/j.jamda.2020.08.029</w:t>
      </w:r>
    </w:p>
    <w:p w14:paraId="3D6D1B1D" w14:textId="77777777" w:rsidR="00250724" w:rsidRPr="00C138DE" w:rsidRDefault="00250724" w:rsidP="004E55BE">
      <w:pPr>
        <w:adjustRightInd w:val="0"/>
        <w:ind w:left="851" w:right="278" w:hanging="581"/>
        <w:jc w:val="both"/>
        <w:rPr>
          <w:noProof/>
        </w:rPr>
      </w:pPr>
      <w:bookmarkStart w:id="20" w:name="Pellegrino"/>
      <w:bookmarkEnd w:id="19"/>
      <w:r w:rsidRPr="00C138DE">
        <w:rPr>
          <w:noProof/>
        </w:rPr>
        <w:t>Pellegrino, R., et al. (2024). Beyond inflammaging: The impact of immune system aging on age-related muscle decline. The Journals of Gerontology: Series A, 79(2), glad238. https://doi.org/10.1093/gerona/glad238</w:t>
      </w:r>
    </w:p>
    <w:p w14:paraId="69E6D6FA" w14:textId="77777777" w:rsidR="00250724" w:rsidRPr="00C138DE" w:rsidRDefault="00250724" w:rsidP="004E55BE">
      <w:pPr>
        <w:adjustRightInd w:val="0"/>
        <w:ind w:left="851" w:right="278" w:hanging="581"/>
        <w:jc w:val="both"/>
        <w:rPr>
          <w:noProof/>
        </w:rPr>
      </w:pPr>
      <w:bookmarkStart w:id="21" w:name="Pöyhönen"/>
      <w:bookmarkEnd w:id="20"/>
      <w:r w:rsidRPr="00C138DE">
        <w:rPr>
          <w:noProof/>
        </w:rPr>
        <w:t>Pöyhönen, J., et al. (2026). Impact of multidomain lifestyle intervention on cognitive frailty: FINGER trial. The Journals of Gerontology: Series A, 81(2), glaf275. https://doi.org/10.1093/gerona/glaf275</w:t>
      </w:r>
    </w:p>
    <w:p w14:paraId="336919F6" w14:textId="77777777" w:rsidR="00250724" w:rsidRPr="00C138DE" w:rsidRDefault="00250724" w:rsidP="004E55BE">
      <w:pPr>
        <w:adjustRightInd w:val="0"/>
        <w:ind w:left="851" w:right="278" w:hanging="581"/>
        <w:jc w:val="both"/>
        <w:rPr>
          <w:noProof/>
        </w:rPr>
      </w:pPr>
      <w:bookmarkStart w:id="22" w:name="Ruan"/>
      <w:bookmarkEnd w:id="21"/>
      <w:r w:rsidRPr="00C138DE">
        <w:rPr>
          <w:noProof/>
          <w:lang w:val="fi-FI"/>
        </w:rPr>
        <w:t xml:space="preserve">Ruan, Q., Yu, Z., Chen, M., et al. </w:t>
      </w:r>
      <w:r w:rsidRPr="00C138DE">
        <w:rPr>
          <w:noProof/>
        </w:rPr>
        <w:t>(2015). Cognitive frailty: A novel target for prevention of elderly dependency. Ageing Research Reviews, 20, 1–10. https://doi.org/10.1016/j.arr.2014.12.004</w:t>
      </w:r>
    </w:p>
    <w:p w14:paraId="7656C0CE" w14:textId="77777777" w:rsidR="00250724" w:rsidRPr="00C138DE" w:rsidRDefault="00250724" w:rsidP="004E55BE">
      <w:pPr>
        <w:adjustRightInd w:val="0"/>
        <w:ind w:left="851" w:right="278" w:hanging="581"/>
        <w:jc w:val="both"/>
        <w:rPr>
          <w:noProof/>
        </w:rPr>
      </w:pPr>
      <w:bookmarkStart w:id="23" w:name="Salaffi"/>
      <w:bookmarkEnd w:id="22"/>
      <w:r w:rsidRPr="00C138DE">
        <w:rPr>
          <w:noProof/>
        </w:rPr>
        <w:t>Salaffi, F., et al. (2023). Inflammaging and frailty in immune-mediated rheumatic diseases. Clinical Reviews in Allergy &amp; Immunology, 64(2), 206–221. https://doi.org/10.1007/s12016-022-08914-5</w:t>
      </w:r>
      <w:bookmarkEnd w:id="23"/>
    </w:p>
    <w:p w14:paraId="33B88B96" w14:textId="6B1CB826" w:rsidR="00250724" w:rsidRPr="00C138DE" w:rsidRDefault="00250724" w:rsidP="004E55BE">
      <w:pPr>
        <w:adjustRightInd w:val="0"/>
        <w:ind w:left="851" w:right="278" w:hanging="581"/>
        <w:jc w:val="both"/>
        <w:rPr>
          <w:noProof/>
        </w:rPr>
      </w:pPr>
      <w:r w:rsidRPr="00C138DE">
        <w:rPr>
          <w:noProof/>
        </w:rPr>
        <w:t xml:space="preserve">Santoso, V., &amp; Rensa, R. (2022). Determinant factors of cognitive frailty in elderly patients. Jurnal Penyakit Dalam Indonesia, 9(4), 21. </w:t>
      </w:r>
    </w:p>
    <w:p w14:paraId="4427BE58" w14:textId="77777777" w:rsidR="00250724" w:rsidRPr="00C138DE" w:rsidRDefault="00250724" w:rsidP="004E55BE">
      <w:pPr>
        <w:adjustRightInd w:val="0"/>
        <w:ind w:left="851" w:right="278" w:hanging="581"/>
        <w:jc w:val="both"/>
        <w:rPr>
          <w:noProof/>
        </w:rPr>
      </w:pPr>
      <w:bookmarkStart w:id="24" w:name="Solerte"/>
      <w:r w:rsidRPr="00C138DE">
        <w:rPr>
          <w:noProof/>
        </w:rPr>
        <w:t>Solerte, S. B. (2025). Shared pathways linking metabolic syndrome, cognitive impairment, and sarcopenia. Metabolites, 15(3), 159. https://doi.org/10.3390/metabo15030159</w:t>
      </w:r>
      <w:bookmarkEnd w:id="24"/>
    </w:p>
    <w:p w14:paraId="4B6DD500" w14:textId="4A71FCD1" w:rsidR="00250724" w:rsidRPr="00C138DE" w:rsidRDefault="00250724" w:rsidP="004E55BE">
      <w:pPr>
        <w:adjustRightInd w:val="0"/>
        <w:ind w:left="851" w:right="278" w:hanging="581"/>
        <w:jc w:val="both"/>
        <w:rPr>
          <w:noProof/>
        </w:rPr>
      </w:pPr>
      <w:bookmarkStart w:id="25" w:name="Tamura"/>
      <w:r w:rsidRPr="00C138DE">
        <w:rPr>
          <w:noProof/>
        </w:rPr>
        <w:t>Tamura, Y., et al. (2020). Nutrition management in older adults with diabetes. Nutrients, 12(11), 3367. https://doi.org/10.3390/nu12113367</w:t>
      </w:r>
      <w:bookmarkEnd w:id="25"/>
    </w:p>
    <w:p w14:paraId="4F914122" w14:textId="77777777" w:rsidR="00250724" w:rsidRPr="00C138DE" w:rsidRDefault="00250724" w:rsidP="004E55BE">
      <w:pPr>
        <w:adjustRightInd w:val="0"/>
        <w:ind w:left="851" w:right="278" w:hanging="581"/>
        <w:jc w:val="both"/>
        <w:rPr>
          <w:noProof/>
        </w:rPr>
      </w:pPr>
      <w:bookmarkStart w:id="26" w:name="Vermeiren"/>
      <w:r w:rsidRPr="00C138DE">
        <w:rPr>
          <w:noProof/>
        </w:rPr>
        <w:t>Vermeiren, S., et al. (2016). Frailty and prediction of negative health outcomes: A meta-analysis. Journal of the American Medical Directors Association, 17(12), 1163.e1–1163.e17. https://doi.org/10.1016/j.jamda.2016.09.006</w:t>
      </w:r>
    </w:p>
    <w:p w14:paraId="4FD0397F" w14:textId="77777777" w:rsidR="00250724" w:rsidRPr="00C138DE" w:rsidRDefault="00250724" w:rsidP="004E55BE">
      <w:pPr>
        <w:adjustRightInd w:val="0"/>
        <w:ind w:left="851" w:right="278" w:hanging="581"/>
        <w:jc w:val="both"/>
        <w:rPr>
          <w:noProof/>
        </w:rPr>
      </w:pPr>
      <w:bookmarkStart w:id="27" w:name="Wu"/>
      <w:bookmarkEnd w:id="26"/>
      <w:r w:rsidRPr="00C138DE">
        <w:rPr>
          <w:noProof/>
        </w:rPr>
        <w:t xml:space="preserve">Wu, Y., et al. (2022). Frailty and microvascular complications in type 2 diabetes. BMC Medicine, </w:t>
      </w:r>
      <w:r w:rsidRPr="00C138DE">
        <w:rPr>
          <w:noProof/>
        </w:rPr>
        <w:lastRenderedPageBreak/>
        <w:t>20, 473. https://doi.org/10.1186/s12916-022-02650-1</w:t>
      </w:r>
      <w:bookmarkEnd w:id="27"/>
    </w:p>
    <w:p w14:paraId="1FB88439" w14:textId="77777777" w:rsidR="00250724" w:rsidRPr="00C138DE" w:rsidRDefault="00250724" w:rsidP="004E55BE">
      <w:pPr>
        <w:adjustRightInd w:val="0"/>
        <w:ind w:left="851" w:right="278" w:hanging="581"/>
        <w:jc w:val="both"/>
        <w:rPr>
          <w:noProof/>
        </w:rPr>
      </w:pPr>
      <w:bookmarkStart w:id="28" w:name="Xenos"/>
      <w:r w:rsidRPr="00C138DE">
        <w:rPr>
          <w:noProof/>
        </w:rPr>
        <w:t>Xenos, D., et al. (2025). Muscle-brain axis in type 2 diabetes. Ageing Research Reviews. https://doi.org/10.1016/j.arr.2025.102955</w:t>
      </w:r>
      <w:bookmarkEnd w:id="28"/>
    </w:p>
    <w:p w14:paraId="39529B38" w14:textId="77777777" w:rsidR="00250724" w:rsidRPr="00C138DE" w:rsidRDefault="00250724" w:rsidP="004E55BE">
      <w:pPr>
        <w:adjustRightInd w:val="0"/>
        <w:ind w:left="851" w:right="278" w:hanging="581"/>
        <w:jc w:val="both"/>
        <w:rPr>
          <w:noProof/>
        </w:rPr>
      </w:pPr>
      <w:bookmarkStart w:id="29" w:name="Zhang"/>
      <w:r w:rsidRPr="00C138DE">
        <w:rPr>
          <w:noProof/>
        </w:rPr>
        <w:t>Zhang, F., et al. (2023). Frailty and survival in chronic kidney disease. BMC Nephrology, 24, 258. https://doi.org/10.1186/s12882-023-03258-2</w:t>
      </w:r>
      <w:bookmarkEnd w:id="29"/>
    </w:p>
    <w:p w14:paraId="5F0FAC67" w14:textId="3CB19117" w:rsidR="00250724" w:rsidRPr="00C138DE" w:rsidRDefault="00250724" w:rsidP="004E55BE">
      <w:pPr>
        <w:adjustRightInd w:val="0"/>
        <w:ind w:left="851" w:right="278" w:hanging="581"/>
        <w:jc w:val="both"/>
        <w:rPr>
          <w:noProof/>
        </w:rPr>
      </w:pPr>
      <w:r w:rsidRPr="00C138DE">
        <w:rPr>
          <w:noProof/>
        </w:rPr>
        <w:t>Zou, G. (2004). Modified Poisson regression approach. American Journal of Epidemiology, 159(7), 702–706. https://doi.org/10.1093/aje/kwh090</w:t>
      </w:r>
    </w:p>
    <w:p w14:paraId="11FAE2B1" w14:textId="52C50F61" w:rsidR="005C1BB9" w:rsidRPr="00C138DE" w:rsidRDefault="005C1BB9" w:rsidP="004E55BE">
      <w:pPr>
        <w:widowControl/>
        <w:suppressAutoHyphens/>
        <w:ind w:left="851" w:right="278" w:hanging="581"/>
        <w:jc w:val="both"/>
        <w:rPr>
          <w:b/>
          <w:bCs/>
          <w:lang w:eastAsia="ar-SA"/>
        </w:rPr>
      </w:pPr>
      <w:r w:rsidRPr="00C138DE">
        <w:rPr>
          <w:b/>
          <w:bCs/>
          <w:lang w:eastAsia="ar-SA"/>
        </w:rPr>
        <w:fldChar w:fldCharType="end"/>
      </w:r>
    </w:p>
    <w:p w14:paraId="24F1592F" w14:textId="6E3D323B" w:rsidR="00970DED" w:rsidRPr="00C138DE" w:rsidRDefault="00970DED" w:rsidP="007F453E">
      <w:pPr>
        <w:ind w:left="720" w:right="278" w:hanging="450"/>
        <w:jc w:val="both"/>
        <w:rPr>
          <w:rFonts w:eastAsia="Times New Roman" w:cs="Times New Roman"/>
        </w:rPr>
      </w:pPr>
    </w:p>
    <w:sectPr w:rsidR="00970DED" w:rsidRPr="00C138DE" w:rsidSect="004E55BE">
      <w:headerReference w:type="even" r:id="rId12"/>
      <w:headerReference w:type="default" r:id="rId13"/>
      <w:footerReference w:type="even" r:id="rId14"/>
      <w:footerReference w:type="default" r:id="rId15"/>
      <w:footerReference w:type="first" r:id="rId16"/>
      <w:pgSz w:w="11906" w:h="16838"/>
      <w:pgMar w:top="799" w:right="1134" w:bottom="816" w:left="1134" w:header="720" w:footer="720" w:gutter="0"/>
      <w:pgNumType w:start="103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A9B140" w14:textId="77777777" w:rsidR="00921CB1" w:rsidRDefault="00921CB1" w:rsidP="00EB03BC">
      <w:r>
        <w:separator/>
      </w:r>
    </w:p>
  </w:endnote>
  <w:endnote w:type="continuationSeparator" w:id="0">
    <w:p w14:paraId="2B825C98" w14:textId="77777777" w:rsidR="00921CB1" w:rsidRDefault="00921CB1" w:rsidP="00EB0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A2C45" w14:textId="19312CC3" w:rsidR="009932D2" w:rsidRPr="003672CA" w:rsidRDefault="003245E8" w:rsidP="009932D2">
    <w:pPr>
      <w:pStyle w:val="Footer"/>
      <w:ind w:left="284" w:right="288"/>
      <w:jc w:val="right"/>
      <w:rPr>
        <w:sz w:val="20"/>
        <w:szCs w:val="20"/>
      </w:rPr>
    </w:pPr>
    <w:proofErr w:type="spellStart"/>
    <w:r w:rsidRPr="003672CA">
      <w:rPr>
        <w:rFonts w:cs="Times New Roman"/>
        <w:sz w:val="20"/>
        <w:szCs w:val="20"/>
      </w:rPr>
      <w:t>Glosains</w:t>
    </w:r>
    <w:proofErr w:type="spellEnd"/>
    <w:r w:rsidRPr="003672CA">
      <w:rPr>
        <w:rFonts w:cs="Times New Roman"/>
        <w:sz w:val="20"/>
        <w:szCs w:val="20"/>
      </w:rPr>
      <w:t xml:space="preserve">: </w:t>
    </w:r>
    <w:proofErr w:type="spellStart"/>
    <w:r w:rsidRPr="003672CA">
      <w:rPr>
        <w:rFonts w:cs="Times New Roman"/>
        <w:sz w:val="20"/>
        <w:szCs w:val="20"/>
      </w:rPr>
      <w:t>Jurnal</w:t>
    </w:r>
    <w:proofErr w:type="spellEnd"/>
    <w:r w:rsidRPr="003672CA">
      <w:rPr>
        <w:rFonts w:cs="Times New Roman"/>
        <w:sz w:val="20"/>
        <w:szCs w:val="20"/>
      </w:rPr>
      <w:t xml:space="preserve"> Sains Global Indonesia</w:t>
    </w:r>
    <w:r w:rsidRPr="003672CA">
      <w:rPr>
        <w:sz w:val="20"/>
        <w:szCs w:val="20"/>
        <w:lang w:val="id-ID"/>
      </w:rPr>
      <w:t xml:space="preserve"> </w:t>
    </w:r>
    <w:r w:rsidR="009932D2" w:rsidRPr="003672CA">
      <w:rPr>
        <w:sz w:val="20"/>
        <w:szCs w:val="20"/>
        <w:lang w:val="id-ID"/>
      </w:rPr>
      <w:t>|</w:t>
    </w:r>
    <w:r w:rsidR="009932D2" w:rsidRPr="003672CA">
      <w:rPr>
        <w:sz w:val="20"/>
        <w:szCs w:val="20"/>
      </w:rPr>
      <w:t xml:space="preserve"> </w:t>
    </w:r>
    <w:r w:rsidR="009932D2" w:rsidRPr="003672CA">
      <w:rPr>
        <w:sz w:val="20"/>
        <w:szCs w:val="20"/>
      </w:rPr>
      <w:fldChar w:fldCharType="begin"/>
    </w:r>
    <w:r w:rsidR="009932D2" w:rsidRPr="003672CA">
      <w:rPr>
        <w:sz w:val="20"/>
        <w:szCs w:val="20"/>
      </w:rPr>
      <w:instrText>PAGE   \* MERGEFORMAT</w:instrText>
    </w:r>
    <w:r w:rsidR="009932D2" w:rsidRPr="003672CA">
      <w:rPr>
        <w:sz w:val="20"/>
        <w:szCs w:val="20"/>
      </w:rPr>
      <w:fldChar w:fldCharType="separate"/>
    </w:r>
    <w:r w:rsidR="009932D2" w:rsidRPr="003672CA">
      <w:rPr>
        <w:sz w:val="20"/>
        <w:szCs w:val="20"/>
      </w:rPr>
      <w:t>1</w:t>
    </w:r>
    <w:r w:rsidR="009932D2" w:rsidRPr="003672CA">
      <w:rPr>
        <w:b/>
        <w:bCs/>
        <w:sz w:val="20"/>
        <w:szCs w:val="20"/>
      </w:rPr>
      <w:fldChar w:fldCharType="end"/>
    </w:r>
    <w:r w:rsidR="009932D2" w:rsidRPr="003672CA">
      <w:rPr>
        <w:b/>
        <w:bCs/>
        <w:sz w:val="20"/>
        <w:szCs w:val="20"/>
        <w:lang w:val="id-ID"/>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420028437"/>
      <w:docPartObj>
        <w:docPartGallery w:val="Page Numbers (Bottom of Page)"/>
        <w:docPartUnique/>
      </w:docPartObj>
    </w:sdtPr>
    <w:sdtEndPr>
      <w:rPr>
        <w:noProof/>
      </w:rPr>
    </w:sdtEndPr>
    <w:sdtContent>
      <w:p w14:paraId="5C20A686" w14:textId="54367978" w:rsidR="00A06475" w:rsidRPr="003672CA" w:rsidRDefault="00A06475" w:rsidP="00A06475">
        <w:pPr>
          <w:pStyle w:val="Footer"/>
          <w:ind w:firstLine="284"/>
          <w:rPr>
            <w:sz w:val="20"/>
            <w:szCs w:val="20"/>
          </w:rPr>
        </w:pPr>
        <w:r w:rsidRPr="003672CA">
          <w:rPr>
            <w:sz w:val="20"/>
            <w:szCs w:val="20"/>
          </w:rPr>
          <w:fldChar w:fldCharType="begin"/>
        </w:r>
        <w:r w:rsidRPr="003672CA">
          <w:rPr>
            <w:sz w:val="20"/>
            <w:szCs w:val="20"/>
          </w:rPr>
          <w:instrText xml:space="preserve"> PAGE   \* MERGEFORMAT </w:instrText>
        </w:r>
        <w:r w:rsidRPr="003672CA">
          <w:rPr>
            <w:sz w:val="20"/>
            <w:szCs w:val="20"/>
          </w:rPr>
          <w:fldChar w:fldCharType="separate"/>
        </w:r>
        <w:r w:rsidRPr="003672CA">
          <w:rPr>
            <w:noProof/>
            <w:sz w:val="20"/>
            <w:szCs w:val="20"/>
          </w:rPr>
          <w:t>2</w:t>
        </w:r>
        <w:r w:rsidRPr="003672CA">
          <w:rPr>
            <w:noProof/>
            <w:sz w:val="20"/>
            <w:szCs w:val="20"/>
          </w:rPr>
          <w:fldChar w:fldCharType="end"/>
        </w:r>
        <w:r w:rsidRPr="003672CA">
          <w:rPr>
            <w:noProof/>
            <w:sz w:val="20"/>
            <w:szCs w:val="20"/>
          </w:rPr>
          <w:t xml:space="preserve"> </w:t>
        </w:r>
        <w:r w:rsidRPr="003672CA">
          <w:rPr>
            <w:sz w:val="20"/>
            <w:szCs w:val="20"/>
            <w:lang w:val="id-ID"/>
          </w:rPr>
          <w:t>|</w:t>
        </w:r>
        <w:r w:rsidRPr="003672CA">
          <w:rPr>
            <w:sz w:val="20"/>
            <w:szCs w:val="20"/>
          </w:rPr>
          <w:t xml:space="preserve"> </w:t>
        </w:r>
        <w:proofErr w:type="spellStart"/>
        <w:r w:rsidRPr="003672CA">
          <w:rPr>
            <w:rFonts w:cs="Times New Roman"/>
            <w:sz w:val="20"/>
            <w:szCs w:val="20"/>
          </w:rPr>
          <w:t>Glosains</w:t>
        </w:r>
        <w:proofErr w:type="spellEnd"/>
        <w:r w:rsidRPr="003672CA">
          <w:rPr>
            <w:rFonts w:cs="Times New Roman"/>
            <w:sz w:val="20"/>
            <w:szCs w:val="20"/>
          </w:rPr>
          <w:t xml:space="preserve">: </w:t>
        </w:r>
        <w:proofErr w:type="spellStart"/>
        <w:r w:rsidRPr="003672CA">
          <w:rPr>
            <w:rFonts w:cs="Times New Roman"/>
            <w:sz w:val="20"/>
            <w:szCs w:val="20"/>
          </w:rPr>
          <w:t>Jurnal</w:t>
        </w:r>
        <w:proofErr w:type="spellEnd"/>
        <w:r w:rsidRPr="003672CA">
          <w:rPr>
            <w:rFonts w:cs="Times New Roman"/>
            <w:sz w:val="20"/>
            <w:szCs w:val="20"/>
          </w:rPr>
          <w:t xml:space="preserve"> Sains Global Indonesia</w:t>
        </w:r>
      </w:p>
    </w:sdtContent>
  </w:sdt>
  <w:p w14:paraId="3965DFBD" w14:textId="379B4E89" w:rsidR="00B50E5D" w:rsidRPr="003672CA" w:rsidRDefault="00B50E5D" w:rsidP="00B50E5D">
    <w:pPr>
      <w:pBdr>
        <w:top w:val="nil"/>
        <w:left w:val="nil"/>
        <w:bottom w:val="nil"/>
        <w:right w:val="nil"/>
        <w:between w:val="nil"/>
      </w:pBdr>
      <w:tabs>
        <w:tab w:val="center" w:pos="4513"/>
        <w:tab w:val="right" w:pos="9026"/>
      </w:tabs>
      <w:ind w:left="284"/>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BC7CA" w14:textId="49F556A7" w:rsidR="00D6092E" w:rsidRPr="003672CA" w:rsidRDefault="004E55BE" w:rsidP="004E55BE">
    <w:pPr>
      <w:pStyle w:val="Footer"/>
      <w:ind w:left="284" w:right="288"/>
      <w:jc w:val="right"/>
      <w:rPr>
        <w:sz w:val="20"/>
        <w:szCs w:val="20"/>
      </w:rPr>
    </w:pPr>
    <w:proofErr w:type="spellStart"/>
    <w:r w:rsidRPr="003672CA">
      <w:rPr>
        <w:rFonts w:cs="Times New Roman"/>
        <w:sz w:val="20"/>
        <w:szCs w:val="20"/>
      </w:rPr>
      <w:t>Glosains</w:t>
    </w:r>
    <w:proofErr w:type="spellEnd"/>
    <w:r w:rsidRPr="003672CA">
      <w:rPr>
        <w:rFonts w:cs="Times New Roman"/>
        <w:sz w:val="20"/>
        <w:szCs w:val="20"/>
      </w:rPr>
      <w:t xml:space="preserve">: </w:t>
    </w:r>
    <w:proofErr w:type="spellStart"/>
    <w:r w:rsidRPr="003672CA">
      <w:rPr>
        <w:rFonts w:cs="Times New Roman"/>
        <w:sz w:val="20"/>
        <w:szCs w:val="20"/>
      </w:rPr>
      <w:t>Jurnal</w:t>
    </w:r>
    <w:proofErr w:type="spellEnd"/>
    <w:r w:rsidRPr="003672CA">
      <w:rPr>
        <w:rFonts w:cs="Times New Roman"/>
        <w:sz w:val="20"/>
        <w:szCs w:val="20"/>
      </w:rPr>
      <w:t xml:space="preserve"> Sains Global Indonesia</w:t>
    </w:r>
    <w:r w:rsidRPr="003672CA">
      <w:rPr>
        <w:sz w:val="20"/>
        <w:szCs w:val="20"/>
        <w:lang w:val="id-ID"/>
      </w:rPr>
      <w:t xml:space="preserve"> |</w:t>
    </w:r>
    <w:r w:rsidRPr="003672CA">
      <w:rPr>
        <w:sz w:val="20"/>
        <w:szCs w:val="20"/>
      </w:rPr>
      <w:t xml:space="preserve"> </w:t>
    </w:r>
    <w:r w:rsidRPr="003672CA">
      <w:rPr>
        <w:sz w:val="20"/>
        <w:szCs w:val="20"/>
      </w:rPr>
      <w:fldChar w:fldCharType="begin"/>
    </w:r>
    <w:r w:rsidRPr="003672CA">
      <w:rPr>
        <w:sz w:val="20"/>
        <w:szCs w:val="20"/>
      </w:rPr>
      <w:instrText>PAGE   \* MERGEFORMAT</w:instrText>
    </w:r>
    <w:r w:rsidRPr="003672CA">
      <w:rPr>
        <w:sz w:val="20"/>
        <w:szCs w:val="20"/>
      </w:rPr>
      <w:fldChar w:fldCharType="separate"/>
    </w:r>
    <w:r>
      <w:rPr>
        <w:sz w:val="20"/>
        <w:szCs w:val="20"/>
      </w:rPr>
      <w:t>1040</w:t>
    </w:r>
    <w:r w:rsidRPr="003672CA">
      <w:rPr>
        <w:b/>
        <w:bCs/>
        <w:sz w:val="20"/>
        <w:szCs w:val="20"/>
      </w:rPr>
      <w:fldChar w:fldCharType="end"/>
    </w:r>
    <w:r w:rsidRPr="003672CA">
      <w:rPr>
        <w:b/>
        <w:bCs/>
        <w:sz w:val="20"/>
        <w:szCs w:val="20"/>
        <w:lang w:val="id-ID"/>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52451" w14:textId="77777777" w:rsidR="00921CB1" w:rsidRDefault="00921CB1" w:rsidP="00EB03BC">
      <w:r>
        <w:separator/>
      </w:r>
    </w:p>
  </w:footnote>
  <w:footnote w:type="continuationSeparator" w:id="0">
    <w:p w14:paraId="0F404861" w14:textId="77777777" w:rsidR="00921CB1" w:rsidRDefault="00921CB1" w:rsidP="00EB0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9"/>
      <w:gridCol w:w="4894"/>
    </w:tblGrid>
    <w:tr w:rsidR="00C317C4" w14:paraId="5D3E7A20" w14:textId="77777777" w:rsidTr="002768A6">
      <w:trPr>
        <w:jc w:val="center"/>
      </w:trPr>
      <w:tc>
        <w:tcPr>
          <w:tcW w:w="5029" w:type="dxa"/>
        </w:tcPr>
        <w:p w14:paraId="65D4D9DF" w14:textId="5AB077F7" w:rsidR="00C317C4" w:rsidRPr="0056121F" w:rsidRDefault="0056121F" w:rsidP="00FA20D9">
          <w:pPr>
            <w:pStyle w:val="Header"/>
            <w:ind w:left="327"/>
            <w:rPr>
              <w:sz w:val="20"/>
              <w:szCs w:val="20"/>
              <w:lang w:val="fi-FI"/>
            </w:rPr>
          </w:pPr>
          <w:r w:rsidRPr="0056121F">
            <w:rPr>
              <w:sz w:val="20"/>
              <w:szCs w:val="20"/>
              <w:lang w:val="fi-FI"/>
            </w:rPr>
            <w:t xml:space="preserve">Laurentius Johan </w:t>
          </w:r>
          <w:proofErr w:type="spellStart"/>
          <w:r w:rsidRPr="0056121F">
            <w:rPr>
              <w:sz w:val="20"/>
              <w:szCs w:val="20"/>
              <w:lang w:val="fi-FI"/>
            </w:rPr>
            <w:t>Ardian</w:t>
          </w:r>
          <w:proofErr w:type="spellEnd"/>
          <w:r w:rsidRPr="0056121F">
            <w:rPr>
              <w:sz w:val="20"/>
              <w:szCs w:val="20"/>
              <w:lang w:val="fi-FI"/>
            </w:rPr>
            <w:t xml:space="preserve">, </w:t>
          </w:r>
          <w:proofErr w:type="spellStart"/>
          <w:r w:rsidRPr="0056121F">
            <w:rPr>
              <w:sz w:val="20"/>
              <w:szCs w:val="20"/>
              <w:lang w:val="fi-FI"/>
            </w:rPr>
            <w:t>Fitria</w:t>
          </w:r>
          <w:proofErr w:type="spellEnd"/>
          <w:r w:rsidRPr="0056121F">
            <w:rPr>
              <w:sz w:val="20"/>
              <w:szCs w:val="20"/>
              <w:lang w:val="fi-FI"/>
            </w:rPr>
            <w:t xml:space="preserve"> </w:t>
          </w:r>
          <w:proofErr w:type="spellStart"/>
          <w:r w:rsidRPr="0056121F">
            <w:rPr>
              <w:sz w:val="20"/>
              <w:szCs w:val="20"/>
              <w:lang w:val="fi-FI"/>
            </w:rPr>
            <w:t>Kusuma</w:t>
          </w:r>
          <w:proofErr w:type="spellEnd"/>
          <w:r w:rsidRPr="0056121F">
            <w:rPr>
              <w:sz w:val="20"/>
              <w:szCs w:val="20"/>
              <w:lang w:val="fi-FI"/>
            </w:rPr>
            <w:t xml:space="preserve"> </w:t>
          </w:r>
          <w:proofErr w:type="spellStart"/>
          <w:r w:rsidRPr="0056121F">
            <w:rPr>
              <w:sz w:val="20"/>
              <w:szCs w:val="20"/>
              <w:lang w:val="fi-FI"/>
            </w:rPr>
            <w:t>Wardhani</w:t>
          </w:r>
          <w:proofErr w:type="spellEnd"/>
          <w:r w:rsidRPr="0056121F">
            <w:rPr>
              <w:sz w:val="20"/>
              <w:szCs w:val="20"/>
              <w:lang w:val="fi-FI"/>
            </w:rPr>
            <w:t xml:space="preserve">, </w:t>
          </w:r>
          <w:proofErr w:type="spellStart"/>
          <w:r w:rsidRPr="0056121F">
            <w:rPr>
              <w:sz w:val="20"/>
              <w:szCs w:val="20"/>
              <w:lang w:val="fi-FI"/>
            </w:rPr>
            <w:t>Bisarda</w:t>
          </w:r>
          <w:proofErr w:type="spellEnd"/>
          <w:r w:rsidRPr="0056121F">
            <w:rPr>
              <w:sz w:val="20"/>
              <w:szCs w:val="20"/>
              <w:lang w:val="fi-FI"/>
            </w:rPr>
            <w:t xml:space="preserve"> </w:t>
          </w:r>
          <w:proofErr w:type="spellStart"/>
          <w:r w:rsidRPr="0056121F">
            <w:rPr>
              <w:sz w:val="20"/>
              <w:szCs w:val="20"/>
              <w:lang w:val="fi-FI"/>
            </w:rPr>
            <w:t>Kanira</w:t>
          </w:r>
          <w:proofErr w:type="spellEnd"/>
          <w:r w:rsidRPr="0056121F">
            <w:rPr>
              <w:sz w:val="20"/>
              <w:szCs w:val="20"/>
              <w:lang w:val="fi-FI"/>
            </w:rPr>
            <w:t xml:space="preserve">, Aura </w:t>
          </w:r>
          <w:proofErr w:type="spellStart"/>
          <w:r w:rsidRPr="0056121F">
            <w:rPr>
              <w:sz w:val="20"/>
              <w:szCs w:val="20"/>
              <w:lang w:val="fi-FI"/>
            </w:rPr>
            <w:t>Cinta</w:t>
          </w:r>
          <w:proofErr w:type="spellEnd"/>
          <w:r w:rsidRPr="0056121F">
            <w:rPr>
              <w:sz w:val="20"/>
              <w:szCs w:val="20"/>
              <w:lang w:val="fi-FI"/>
            </w:rPr>
            <w:t xml:space="preserve"> </w:t>
          </w:r>
          <w:proofErr w:type="spellStart"/>
          <w:r w:rsidRPr="0056121F">
            <w:rPr>
              <w:sz w:val="20"/>
              <w:szCs w:val="20"/>
              <w:lang w:val="fi-FI"/>
            </w:rPr>
            <w:t>Jihada</w:t>
          </w:r>
          <w:proofErr w:type="spellEnd"/>
          <w:r w:rsidRPr="0056121F">
            <w:rPr>
              <w:sz w:val="20"/>
              <w:szCs w:val="20"/>
              <w:lang w:val="fi-FI"/>
            </w:rPr>
            <w:t xml:space="preserve">, </w:t>
          </w:r>
          <w:proofErr w:type="spellStart"/>
          <w:r w:rsidRPr="0056121F">
            <w:rPr>
              <w:sz w:val="20"/>
              <w:szCs w:val="20"/>
              <w:lang w:val="fi-FI"/>
            </w:rPr>
            <w:t>Tia</w:t>
          </w:r>
          <w:proofErr w:type="spellEnd"/>
          <w:r>
            <w:rPr>
              <w:sz w:val="20"/>
              <w:szCs w:val="20"/>
              <w:lang w:val="fi-FI"/>
            </w:rPr>
            <w:t xml:space="preserve"> </w:t>
          </w:r>
          <w:r w:rsidRPr="0056121F">
            <w:rPr>
              <w:sz w:val="20"/>
              <w:szCs w:val="20"/>
              <w:lang w:val="fi-FI"/>
            </w:rPr>
            <w:t xml:space="preserve">Maya </w:t>
          </w:r>
          <w:proofErr w:type="spellStart"/>
          <w:r w:rsidRPr="0056121F">
            <w:rPr>
              <w:sz w:val="20"/>
              <w:szCs w:val="20"/>
              <w:lang w:val="fi-FI"/>
            </w:rPr>
            <w:t>Affrita</w:t>
          </w:r>
          <w:proofErr w:type="spellEnd"/>
        </w:p>
      </w:tc>
      <w:tc>
        <w:tcPr>
          <w:tcW w:w="4894" w:type="dxa"/>
        </w:tcPr>
        <w:p w14:paraId="31B73A25" w14:textId="0D327CCC" w:rsidR="00C317C4" w:rsidRDefault="00EF3006" w:rsidP="00FA20D9">
          <w:pPr>
            <w:pStyle w:val="Header"/>
            <w:tabs>
              <w:tab w:val="clear" w:pos="4513"/>
            </w:tabs>
            <w:ind w:right="325"/>
            <w:jc w:val="right"/>
          </w:pPr>
          <w:r w:rsidRPr="00EF3006">
            <w:rPr>
              <w:sz w:val="20"/>
              <w:szCs w:val="20"/>
            </w:rPr>
            <w:t>Sarcopenia Associated</w:t>
          </w:r>
          <w:r>
            <w:rPr>
              <w:sz w:val="20"/>
              <w:szCs w:val="20"/>
            </w:rPr>
            <w:t xml:space="preserve"> .</w:t>
          </w:r>
          <w:r w:rsidR="00C317C4">
            <w:rPr>
              <w:sz w:val="20"/>
              <w:szCs w:val="20"/>
            </w:rPr>
            <w:t>..</w:t>
          </w:r>
        </w:p>
      </w:tc>
    </w:tr>
  </w:tbl>
  <w:p w14:paraId="399C9D15" w14:textId="77777777" w:rsidR="009932D2" w:rsidRDefault="009932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9"/>
      <w:gridCol w:w="4894"/>
    </w:tblGrid>
    <w:tr w:rsidR="00811075" w14:paraId="7CFB1C4A" w14:textId="77777777" w:rsidTr="00CB149C">
      <w:trPr>
        <w:jc w:val="center"/>
      </w:trPr>
      <w:tc>
        <w:tcPr>
          <w:tcW w:w="5029" w:type="dxa"/>
        </w:tcPr>
        <w:p w14:paraId="04CD7060" w14:textId="4FD454E9" w:rsidR="00811075" w:rsidRPr="0056121F" w:rsidRDefault="0056121F" w:rsidP="00FA20D9">
          <w:pPr>
            <w:pStyle w:val="Header"/>
            <w:tabs>
              <w:tab w:val="clear" w:pos="4513"/>
              <w:tab w:val="clear" w:pos="9026"/>
            </w:tabs>
            <w:ind w:left="327"/>
            <w:rPr>
              <w:lang w:val="fi-FI"/>
            </w:rPr>
          </w:pPr>
          <w:r w:rsidRPr="0056121F">
            <w:rPr>
              <w:sz w:val="20"/>
              <w:szCs w:val="20"/>
              <w:lang w:val="fi-FI"/>
            </w:rPr>
            <w:t xml:space="preserve">Laurentius Johan </w:t>
          </w:r>
          <w:proofErr w:type="spellStart"/>
          <w:r w:rsidRPr="0056121F">
            <w:rPr>
              <w:sz w:val="20"/>
              <w:szCs w:val="20"/>
              <w:lang w:val="fi-FI"/>
            </w:rPr>
            <w:t>Ardian</w:t>
          </w:r>
          <w:proofErr w:type="spellEnd"/>
          <w:r w:rsidRPr="0056121F">
            <w:rPr>
              <w:sz w:val="20"/>
              <w:szCs w:val="20"/>
              <w:lang w:val="fi-FI"/>
            </w:rPr>
            <w:t xml:space="preserve">, </w:t>
          </w:r>
          <w:proofErr w:type="spellStart"/>
          <w:r w:rsidRPr="0056121F">
            <w:rPr>
              <w:sz w:val="20"/>
              <w:szCs w:val="20"/>
              <w:lang w:val="fi-FI"/>
            </w:rPr>
            <w:t>Fitria</w:t>
          </w:r>
          <w:proofErr w:type="spellEnd"/>
          <w:r w:rsidRPr="0056121F">
            <w:rPr>
              <w:sz w:val="20"/>
              <w:szCs w:val="20"/>
              <w:lang w:val="fi-FI"/>
            </w:rPr>
            <w:t xml:space="preserve"> </w:t>
          </w:r>
          <w:proofErr w:type="spellStart"/>
          <w:r w:rsidRPr="0056121F">
            <w:rPr>
              <w:sz w:val="20"/>
              <w:szCs w:val="20"/>
              <w:lang w:val="fi-FI"/>
            </w:rPr>
            <w:t>Kusuma</w:t>
          </w:r>
          <w:proofErr w:type="spellEnd"/>
          <w:r w:rsidRPr="0056121F">
            <w:rPr>
              <w:sz w:val="20"/>
              <w:szCs w:val="20"/>
              <w:lang w:val="fi-FI"/>
            </w:rPr>
            <w:t xml:space="preserve"> </w:t>
          </w:r>
          <w:proofErr w:type="spellStart"/>
          <w:r w:rsidRPr="0056121F">
            <w:rPr>
              <w:sz w:val="20"/>
              <w:szCs w:val="20"/>
              <w:lang w:val="fi-FI"/>
            </w:rPr>
            <w:t>Wardhani</w:t>
          </w:r>
          <w:proofErr w:type="spellEnd"/>
          <w:r w:rsidRPr="0056121F">
            <w:rPr>
              <w:sz w:val="20"/>
              <w:szCs w:val="20"/>
              <w:lang w:val="fi-FI"/>
            </w:rPr>
            <w:t xml:space="preserve">, </w:t>
          </w:r>
          <w:proofErr w:type="spellStart"/>
          <w:r w:rsidRPr="0056121F">
            <w:rPr>
              <w:sz w:val="20"/>
              <w:szCs w:val="20"/>
              <w:lang w:val="fi-FI"/>
            </w:rPr>
            <w:t>Bisarda</w:t>
          </w:r>
          <w:proofErr w:type="spellEnd"/>
          <w:r w:rsidRPr="0056121F">
            <w:rPr>
              <w:sz w:val="20"/>
              <w:szCs w:val="20"/>
              <w:lang w:val="fi-FI"/>
            </w:rPr>
            <w:t xml:space="preserve"> </w:t>
          </w:r>
          <w:proofErr w:type="spellStart"/>
          <w:r w:rsidRPr="0056121F">
            <w:rPr>
              <w:sz w:val="20"/>
              <w:szCs w:val="20"/>
              <w:lang w:val="fi-FI"/>
            </w:rPr>
            <w:t>Kanira</w:t>
          </w:r>
          <w:proofErr w:type="spellEnd"/>
          <w:r w:rsidRPr="0056121F">
            <w:rPr>
              <w:sz w:val="20"/>
              <w:szCs w:val="20"/>
              <w:lang w:val="fi-FI"/>
            </w:rPr>
            <w:t xml:space="preserve">, Aura </w:t>
          </w:r>
          <w:proofErr w:type="spellStart"/>
          <w:r w:rsidRPr="0056121F">
            <w:rPr>
              <w:sz w:val="20"/>
              <w:szCs w:val="20"/>
              <w:lang w:val="fi-FI"/>
            </w:rPr>
            <w:t>Cinta</w:t>
          </w:r>
          <w:proofErr w:type="spellEnd"/>
          <w:r w:rsidRPr="0056121F">
            <w:rPr>
              <w:sz w:val="20"/>
              <w:szCs w:val="20"/>
              <w:lang w:val="fi-FI"/>
            </w:rPr>
            <w:t xml:space="preserve"> </w:t>
          </w:r>
          <w:proofErr w:type="spellStart"/>
          <w:r w:rsidRPr="0056121F">
            <w:rPr>
              <w:sz w:val="20"/>
              <w:szCs w:val="20"/>
              <w:lang w:val="fi-FI"/>
            </w:rPr>
            <w:t>Jihada</w:t>
          </w:r>
          <w:proofErr w:type="spellEnd"/>
          <w:r w:rsidRPr="0056121F">
            <w:rPr>
              <w:sz w:val="20"/>
              <w:szCs w:val="20"/>
              <w:lang w:val="fi-FI"/>
            </w:rPr>
            <w:t xml:space="preserve">, </w:t>
          </w:r>
          <w:proofErr w:type="spellStart"/>
          <w:r w:rsidRPr="0056121F">
            <w:rPr>
              <w:sz w:val="20"/>
              <w:szCs w:val="20"/>
              <w:lang w:val="fi-FI"/>
            </w:rPr>
            <w:t>Tia</w:t>
          </w:r>
          <w:proofErr w:type="spellEnd"/>
          <w:r w:rsidRPr="0056121F">
            <w:rPr>
              <w:sz w:val="20"/>
              <w:szCs w:val="20"/>
              <w:lang w:val="fi-FI"/>
            </w:rPr>
            <w:t xml:space="preserve"> Maya </w:t>
          </w:r>
          <w:proofErr w:type="spellStart"/>
          <w:r w:rsidRPr="0056121F">
            <w:rPr>
              <w:sz w:val="20"/>
              <w:szCs w:val="20"/>
              <w:lang w:val="fi-FI"/>
            </w:rPr>
            <w:t>Affrita</w:t>
          </w:r>
          <w:proofErr w:type="spellEnd"/>
        </w:p>
      </w:tc>
      <w:tc>
        <w:tcPr>
          <w:tcW w:w="4894" w:type="dxa"/>
        </w:tcPr>
        <w:p w14:paraId="585CD8EF" w14:textId="68F9ED1D" w:rsidR="00811075" w:rsidRDefault="00EF3006" w:rsidP="00FA20D9">
          <w:pPr>
            <w:pStyle w:val="Header"/>
            <w:tabs>
              <w:tab w:val="clear" w:pos="4513"/>
            </w:tabs>
            <w:ind w:right="325"/>
            <w:jc w:val="right"/>
          </w:pPr>
          <w:r w:rsidRPr="00EF3006">
            <w:rPr>
              <w:sz w:val="20"/>
              <w:szCs w:val="20"/>
            </w:rPr>
            <w:t>Sarcopenia Associated</w:t>
          </w:r>
          <w:r>
            <w:rPr>
              <w:sz w:val="20"/>
              <w:szCs w:val="20"/>
            </w:rPr>
            <w:t xml:space="preserve"> .</w:t>
          </w:r>
          <w:r w:rsidR="00C317C4">
            <w:rPr>
              <w:sz w:val="20"/>
              <w:szCs w:val="20"/>
            </w:rPr>
            <w:t>..</w:t>
          </w:r>
        </w:p>
      </w:tc>
    </w:tr>
  </w:tbl>
  <w:p w14:paraId="1C5E60DD" w14:textId="77777777" w:rsidR="002800DF" w:rsidRPr="00811075" w:rsidRDefault="002800DF" w:rsidP="008110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0CD3"/>
    <w:multiLevelType w:val="hybridMultilevel"/>
    <w:tmpl w:val="04023110"/>
    <w:lvl w:ilvl="0" w:tplc="FFFFFFFF">
      <w:start w:val="1"/>
      <w:numFmt w:val="decimal"/>
      <w:lvlText w:val="%1."/>
      <w:lvlJc w:val="left"/>
      <w:pPr>
        <w:ind w:left="383" w:hanging="240"/>
      </w:pPr>
      <w:rPr>
        <w:rFonts w:ascii="Times New Roman" w:eastAsia="Times New Roman" w:hAnsi="Times New Roman" w:cs="Times New Roman" w:hint="default"/>
        <w:b w:val="0"/>
        <w:bCs w:val="0"/>
        <w:i w:val="0"/>
        <w:iCs w:val="0"/>
        <w:color w:val="auto"/>
        <w:spacing w:val="0"/>
        <w:w w:val="100"/>
        <w:sz w:val="22"/>
        <w:szCs w:val="22"/>
        <w:lang w:val="en-US" w:eastAsia="en-US" w:bidi="ar-SA"/>
      </w:rPr>
    </w:lvl>
    <w:lvl w:ilvl="1" w:tplc="FFFFFFFF">
      <w:start w:val="1"/>
      <w:numFmt w:val="decimal"/>
      <w:lvlText w:val="%2."/>
      <w:lvlJc w:val="left"/>
      <w:pPr>
        <w:ind w:left="785" w:hanging="360"/>
      </w:pPr>
      <w:rPr>
        <w:rFonts w:hint="default"/>
      </w:rPr>
    </w:lvl>
    <w:lvl w:ilvl="2" w:tplc="3809000F">
      <w:start w:val="1"/>
      <w:numFmt w:val="decimal"/>
      <w:lvlText w:val="%3."/>
      <w:lvlJc w:val="left"/>
      <w:pPr>
        <w:ind w:left="1071" w:hanging="360"/>
      </w:pPr>
    </w:lvl>
    <w:lvl w:ilvl="3" w:tplc="FFFFFFFF">
      <w:numFmt w:val="bullet"/>
      <w:lvlText w:val="•"/>
      <w:lvlJc w:val="left"/>
      <w:pPr>
        <w:ind w:left="860" w:hanging="284"/>
      </w:pPr>
      <w:rPr>
        <w:rFonts w:hint="default"/>
        <w:lang w:val="en-US" w:eastAsia="en-US" w:bidi="ar-SA"/>
      </w:rPr>
    </w:lvl>
    <w:lvl w:ilvl="4" w:tplc="FFFFFFFF">
      <w:numFmt w:val="bullet"/>
      <w:lvlText w:val="•"/>
      <w:lvlJc w:val="left"/>
      <w:pPr>
        <w:ind w:left="1000" w:hanging="284"/>
      </w:pPr>
      <w:rPr>
        <w:rFonts w:hint="default"/>
        <w:lang w:val="en-US" w:eastAsia="en-US" w:bidi="ar-SA"/>
      </w:rPr>
    </w:lvl>
    <w:lvl w:ilvl="5" w:tplc="FFFFFFFF">
      <w:numFmt w:val="bullet"/>
      <w:lvlText w:val="•"/>
      <w:lvlJc w:val="left"/>
      <w:pPr>
        <w:ind w:left="2298" w:hanging="284"/>
      </w:pPr>
      <w:rPr>
        <w:rFonts w:hint="default"/>
        <w:lang w:val="en-US" w:eastAsia="en-US" w:bidi="ar-SA"/>
      </w:rPr>
    </w:lvl>
    <w:lvl w:ilvl="6" w:tplc="FFFFFFFF">
      <w:numFmt w:val="bullet"/>
      <w:lvlText w:val="•"/>
      <w:lvlJc w:val="left"/>
      <w:pPr>
        <w:ind w:left="3596" w:hanging="284"/>
      </w:pPr>
      <w:rPr>
        <w:rFonts w:hint="default"/>
        <w:lang w:val="en-US" w:eastAsia="en-US" w:bidi="ar-SA"/>
      </w:rPr>
    </w:lvl>
    <w:lvl w:ilvl="7" w:tplc="FFFFFFFF">
      <w:numFmt w:val="bullet"/>
      <w:lvlText w:val="•"/>
      <w:lvlJc w:val="left"/>
      <w:pPr>
        <w:ind w:left="4894" w:hanging="284"/>
      </w:pPr>
      <w:rPr>
        <w:rFonts w:hint="default"/>
        <w:lang w:val="en-US" w:eastAsia="en-US" w:bidi="ar-SA"/>
      </w:rPr>
    </w:lvl>
    <w:lvl w:ilvl="8" w:tplc="FFFFFFFF">
      <w:numFmt w:val="bullet"/>
      <w:lvlText w:val="•"/>
      <w:lvlJc w:val="left"/>
      <w:pPr>
        <w:ind w:left="6192" w:hanging="284"/>
      </w:pPr>
      <w:rPr>
        <w:rFonts w:hint="default"/>
        <w:lang w:val="en-US" w:eastAsia="en-US" w:bidi="ar-SA"/>
      </w:rPr>
    </w:lvl>
  </w:abstractNum>
  <w:abstractNum w:abstractNumId="1" w15:restartNumberingAfterBreak="0">
    <w:nsid w:val="00BF5917"/>
    <w:multiLevelType w:val="hybridMultilevel"/>
    <w:tmpl w:val="2D6854CE"/>
    <w:lvl w:ilvl="0" w:tplc="3809000F">
      <w:start w:val="1"/>
      <w:numFmt w:val="decimal"/>
      <w:lvlText w:val="%1."/>
      <w:lvlJc w:val="left"/>
      <w:pPr>
        <w:ind w:left="1724" w:hanging="360"/>
      </w:pPr>
    </w:lvl>
    <w:lvl w:ilvl="1" w:tplc="38090019" w:tentative="1">
      <w:start w:val="1"/>
      <w:numFmt w:val="lowerLetter"/>
      <w:lvlText w:val="%2."/>
      <w:lvlJc w:val="left"/>
      <w:pPr>
        <w:ind w:left="2444" w:hanging="360"/>
      </w:pPr>
    </w:lvl>
    <w:lvl w:ilvl="2" w:tplc="3809001B" w:tentative="1">
      <w:start w:val="1"/>
      <w:numFmt w:val="lowerRoman"/>
      <w:lvlText w:val="%3."/>
      <w:lvlJc w:val="right"/>
      <w:pPr>
        <w:ind w:left="3164" w:hanging="180"/>
      </w:pPr>
    </w:lvl>
    <w:lvl w:ilvl="3" w:tplc="3809000F" w:tentative="1">
      <w:start w:val="1"/>
      <w:numFmt w:val="decimal"/>
      <w:lvlText w:val="%4."/>
      <w:lvlJc w:val="left"/>
      <w:pPr>
        <w:ind w:left="3884" w:hanging="360"/>
      </w:pPr>
    </w:lvl>
    <w:lvl w:ilvl="4" w:tplc="38090019" w:tentative="1">
      <w:start w:val="1"/>
      <w:numFmt w:val="lowerLetter"/>
      <w:lvlText w:val="%5."/>
      <w:lvlJc w:val="left"/>
      <w:pPr>
        <w:ind w:left="4604" w:hanging="360"/>
      </w:pPr>
    </w:lvl>
    <w:lvl w:ilvl="5" w:tplc="3809001B" w:tentative="1">
      <w:start w:val="1"/>
      <w:numFmt w:val="lowerRoman"/>
      <w:lvlText w:val="%6."/>
      <w:lvlJc w:val="right"/>
      <w:pPr>
        <w:ind w:left="5324" w:hanging="180"/>
      </w:pPr>
    </w:lvl>
    <w:lvl w:ilvl="6" w:tplc="3809000F" w:tentative="1">
      <w:start w:val="1"/>
      <w:numFmt w:val="decimal"/>
      <w:lvlText w:val="%7."/>
      <w:lvlJc w:val="left"/>
      <w:pPr>
        <w:ind w:left="6044" w:hanging="360"/>
      </w:pPr>
    </w:lvl>
    <w:lvl w:ilvl="7" w:tplc="38090019" w:tentative="1">
      <w:start w:val="1"/>
      <w:numFmt w:val="lowerLetter"/>
      <w:lvlText w:val="%8."/>
      <w:lvlJc w:val="left"/>
      <w:pPr>
        <w:ind w:left="6764" w:hanging="360"/>
      </w:pPr>
    </w:lvl>
    <w:lvl w:ilvl="8" w:tplc="3809001B" w:tentative="1">
      <w:start w:val="1"/>
      <w:numFmt w:val="lowerRoman"/>
      <w:lvlText w:val="%9."/>
      <w:lvlJc w:val="right"/>
      <w:pPr>
        <w:ind w:left="7484" w:hanging="180"/>
      </w:pPr>
    </w:lvl>
  </w:abstractNum>
  <w:abstractNum w:abstractNumId="2" w15:restartNumberingAfterBreak="0">
    <w:nsid w:val="01415731"/>
    <w:multiLevelType w:val="hybridMultilevel"/>
    <w:tmpl w:val="78E43634"/>
    <w:lvl w:ilvl="0" w:tplc="D7267576">
      <w:start w:val="1"/>
      <w:numFmt w:val="decimal"/>
      <w:lvlText w:val="%1."/>
      <w:lvlJc w:val="left"/>
      <w:pPr>
        <w:ind w:left="383" w:hanging="240"/>
      </w:pPr>
      <w:rPr>
        <w:rFonts w:ascii="Times New Roman" w:eastAsia="Times New Roman" w:hAnsi="Times New Roman" w:cs="Times New Roman" w:hint="default"/>
        <w:b/>
        <w:bCs/>
        <w:i w:val="0"/>
        <w:iCs w:val="0"/>
        <w:spacing w:val="0"/>
        <w:w w:val="100"/>
        <w:sz w:val="24"/>
        <w:szCs w:val="24"/>
        <w:lang w:val="en-US" w:eastAsia="en-US" w:bidi="ar-SA"/>
      </w:rPr>
    </w:lvl>
    <w:lvl w:ilvl="1" w:tplc="A5C275B0">
      <w:numFmt w:val="bullet"/>
      <w:lvlText w:val="•"/>
      <w:lvlJc w:val="left"/>
      <w:pPr>
        <w:ind w:left="1220" w:hanging="240"/>
      </w:pPr>
      <w:rPr>
        <w:rFonts w:hint="default"/>
        <w:lang w:val="en-US" w:eastAsia="en-US" w:bidi="ar-SA"/>
      </w:rPr>
    </w:lvl>
    <w:lvl w:ilvl="2" w:tplc="3E14E5AE">
      <w:numFmt w:val="bullet"/>
      <w:lvlText w:val="•"/>
      <w:lvlJc w:val="left"/>
      <w:pPr>
        <w:ind w:left="2061" w:hanging="240"/>
      </w:pPr>
      <w:rPr>
        <w:rFonts w:hint="default"/>
        <w:lang w:val="en-US" w:eastAsia="en-US" w:bidi="ar-SA"/>
      </w:rPr>
    </w:lvl>
    <w:lvl w:ilvl="3" w:tplc="F600F14A">
      <w:numFmt w:val="bullet"/>
      <w:lvlText w:val="•"/>
      <w:lvlJc w:val="left"/>
      <w:pPr>
        <w:ind w:left="2902" w:hanging="240"/>
      </w:pPr>
      <w:rPr>
        <w:rFonts w:hint="default"/>
        <w:lang w:val="en-US" w:eastAsia="en-US" w:bidi="ar-SA"/>
      </w:rPr>
    </w:lvl>
    <w:lvl w:ilvl="4" w:tplc="2B388EDE">
      <w:numFmt w:val="bullet"/>
      <w:lvlText w:val="•"/>
      <w:lvlJc w:val="left"/>
      <w:pPr>
        <w:ind w:left="3743" w:hanging="240"/>
      </w:pPr>
      <w:rPr>
        <w:rFonts w:hint="default"/>
        <w:lang w:val="en-US" w:eastAsia="en-US" w:bidi="ar-SA"/>
      </w:rPr>
    </w:lvl>
    <w:lvl w:ilvl="5" w:tplc="73E0F60C">
      <w:numFmt w:val="bullet"/>
      <w:lvlText w:val="•"/>
      <w:lvlJc w:val="left"/>
      <w:pPr>
        <w:ind w:left="4584" w:hanging="240"/>
      </w:pPr>
      <w:rPr>
        <w:rFonts w:hint="default"/>
        <w:lang w:val="en-US" w:eastAsia="en-US" w:bidi="ar-SA"/>
      </w:rPr>
    </w:lvl>
    <w:lvl w:ilvl="6" w:tplc="D1F2C9FA">
      <w:numFmt w:val="bullet"/>
      <w:lvlText w:val="•"/>
      <w:lvlJc w:val="left"/>
      <w:pPr>
        <w:ind w:left="5425" w:hanging="240"/>
      </w:pPr>
      <w:rPr>
        <w:rFonts w:hint="default"/>
        <w:lang w:val="en-US" w:eastAsia="en-US" w:bidi="ar-SA"/>
      </w:rPr>
    </w:lvl>
    <w:lvl w:ilvl="7" w:tplc="FB14C6E6">
      <w:numFmt w:val="bullet"/>
      <w:lvlText w:val="•"/>
      <w:lvlJc w:val="left"/>
      <w:pPr>
        <w:ind w:left="6265" w:hanging="240"/>
      </w:pPr>
      <w:rPr>
        <w:rFonts w:hint="default"/>
        <w:lang w:val="en-US" w:eastAsia="en-US" w:bidi="ar-SA"/>
      </w:rPr>
    </w:lvl>
    <w:lvl w:ilvl="8" w:tplc="FF783D66">
      <w:numFmt w:val="bullet"/>
      <w:lvlText w:val="•"/>
      <w:lvlJc w:val="left"/>
      <w:pPr>
        <w:ind w:left="7106" w:hanging="240"/>
      </w:pPr>
      <w:rPr>
        <w:rFonts w:hint="default"/>
        <w:lang w:val="en-US" w:eastAsia="en-US" w:bidi="ar-SA"/>
      </w:rPr>
    </w:lvl>
  </w:abstractNum>
  <w:abstractNum w:abstractNumId="3" w15:restartNumberingAfterBreak="0">
    <w:nsid w:val="031B56DE"/>
    <w:multiLevelType w:val="multilevel"/>
    <w:tmpl w:val="7B225126"/>
    <w:lvl w:ilvl="0">
      <w:start w:val="1"/>
      <w:numFmt w:val="decimal"/>
      <w:lvlText w:val="%1."/>
      <w:lvlJc w:val="left"/>
      <w:pPr>
        <w:tabs>
          <w:tab w:val="num" w:pos="720"/>
        </w:tabs>
        <w:ind w:left="720" w:hanging="360"/>
      </w:pPr>
      <w:rPr>
        <w:rFonts w:hint="default"/>
        <w:i w:val="0"/>
        <w:i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C3AE7"/>
    <w:multiLevelType w:val="hybridMultilevel"/>
    <w:tmpl w:val="D0945D32"/>
    <w:lvl w:ilvl="0" w:tplc="B0DC678A">
      <w:start w:val="1"/>
      <w:numFmt w:val="decimal"/>
      <w:lvlText w:val="%1."/>
      <w:lvlJc w:val="left"/>
      <w:pPr>
        <w:ind w:left="383" w:hanging="240"/>
      </w:pPr>
      <w:rPr>
        <w:rFonts w:ascii="Times New Roman" w:eastAsia="Times New Roman" w:hAnsi="Times New Roman" w:cs="Times New Roman" w:hint="default"/>
        <w:b/>
        <w:bCs/>
        <w:i w:val="0"/>
        <w:iCs w:val="0"/>
        <w:spacing w:val="0"/>
        <w:w w:val="100"/>
        <w:sz w:val="24"/>
        <w:szCs w:val="24"/>
        <w:lang w:val="en-US" w:eastAsia="en-US" w:bidi="ar-SA"/>
      </w:rPr>
    </w:lvl>
    <w:lvl w:ilvl="1" w:tplc="9ADED9B8">
      <w:numFmt w:val="bullet"/>
      <w:lvlText w:val="•"/>
      <w:lvlJc w:val="left"/>
      <w:pPr>
        <w:ind w:left="1220" w:hanging="240"/>
      </w:pPr>
      <w:rPr>
        <w:rFonts w:hint="default"/>
        <w:lang w:val="en-US" w:eastAsia="en-US" w:bidi="ar-SA"/>
      </w:rPr>
    </w:lvl>
    <w:lvl w:ilvl="2" w:tplc="EE8E6620">
      <w:numFmt w:val="bullet"/>
      <w:lvlText w:val="•"/>
      <w:lvlJc w:val="left"/>
      <w:pPr>
        <w:ind w:left="2061" w:hanging="240"/>
      </w:pPr>
      <w:rPr>
        <w:rFonts w:hint="default"/>
        <w:lang w:val="en-US" w:eastAsia="en-US" w:bidi="ar-SA"/>
      </w:rPr>
    </w:lvl>
    <w:lvl w:ilvl="3" w:tplc="6D4096AC">
      <w:numFmt w:val="bullet"/>
      <w:lvlText w:val="•"/>
      <w:lvlJc w:val="left"/>
      <w:pPr>
        <w:ind w:left="2902" w:hanging="240"/>
      </w:pPr>
      <w:rPr>
        <w:rFonts w:hint="default"/>
        <w:lang w:val="en-US" w:eastAsia="en-US" w:bidi="ar-SA"/>
      </w:rPr>
    </w:lvl>
    <w:lvl w:ilvl="4" w:tplc="AB5EAD2E">
      <w:numFmt w:val="bullet"/>
      <w:lvlText w:val="•"/>
      <w:lvlJc w:val="left"/>
      <w:pPr>
        <w:ind w:left="3743" w:hanging="240"/>
      </w:pPr>
      <w:rPr>
        <w:rFonts w:hint="default"/>
        <w:lang w:val="en-US" w:eastAsia="en-US" w:bidi="ar-SA"/>
      </w:rPr>
    </w:lvl>
    <w:lvl w:ilvl="5" w:tplc="2E7E1A14">
      <w:numFmt w:val="bullet"/>
      <w:lvlText w:val="•"/>
      <w:lvlJc w:val="left"/>
      <w:pPr>
        <w:ind w:left="4584" w:hanging="240"/>
      </w:pPr>
      <w:rPr>
        <w:rFonts w:hint="default"/>
        <w:lang w:val="en-US" w:eastAsia="en-US" w:bidi="ar-SA"/>
      </w:rPr>
    </w:lvl>
    <w:lvl w:ilvl="6" w:tplc="C9B6FC7C">
      <w:numFmt w:val="bullet"/>
      <w:lvlText w:val="•"/>
      <w:lvlJc w:val="left"/>
      <w:pPr>
        <w:ind w:left="5425" w:hanging="240"/>
      </w:pPr>
      <w:rPr>
        <w:rFonts w:hint="default"/>
        <w:lang w:val="en-US" w:eastAsia="en-US" w:bidi="ar-SA"/>
      </w:rPr>
    </w:lvl>
    <w:lvl w:ilvl="7" w:tplc="D30025CC">
      <w:numFmt w:val="bullet"/>
      <w:lvlText w:val="•"/>
      <w:lvlJc w:val="left"/>
      <w:pPr>
        <w:ind w:left="6265" w:hanging="240"/>
      </w:pPr>
      <w:rPr>
        <w:rFonts w:hint="default"/>
        <w:lang w:val="en-US" w:eastAsia="en-US" w:bidi="ar-SA"/>
      </w:rPr>
    </w:lvl>
    <w:lvl w:ilvl="8" w:tplc="74963F48">
      <w:numFmt w:val="bullet"/>
      <w:lvlText w:val="•"/>
      <w:lvlJc w:val="left"/>
      <w:pPr>
        <w:ind w:left="7106" w:hanging="240"/>
      </w:pPr>
      <w:rPr>
        <w:rFonts w:hint="default"/>
        <w:lang w:val="en-US" w:eastAsia="en-US" w:bidi="ar-SA"/>
      </w:rPr>
    </w:lvl>
  </w:abstractNum>
  <w:abstractNum w:abstractNumId="5" w15:restartNumberingAfterBreak="0">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BE14623"/>
    <w:multiLevelType w:val="multilevel"/>
    <w:tmpl w:val="0508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5211D3"/>
    <w:multiLevelType w:val="multilevel"/>
    <w:tmpl w:val="E444A3B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2E7B2C"/>
    <w:multiLevelType w:val="hybridMultilevel"/>
    <w:tmpl w:val="AA8C30A4"/>
    <w:lvl w:ilvl="0" w:tplc="FFFFFFFF">
      <w:start w:val="1"/>
      <w:numFmt w:val="decimal"/>
      <w:lvlText w:val="%1."/>
      <w:lvlJc w:val="left"/>
      <w:pPr>
        <w:ind w:left="851" w:hanging="360"/>
      </w:pPr>
      <w:rPr>
        <w:rFonts w:hint="default"/>
      </w:rPr>
    </w:lvl>
    <w:lvl w:ilvl="1" w:tplc="FFFFFFFF">
      <w:start w:val="1"/>
      <w:numFmt w:val="decimal"/>
      <w:lvlText w:val="%2."/>
      <w:lvlJc w:val="left"/>
      <w:pPr>
        <w:ind w:left="851" w:hanging="360"/>
      </w:pPr>
    </w:lvl>
    <w:lvl w:ilvl="2" w:tplc="38090019">
      <w:start w:val="1"/>
      <w:numFmt w:val="lowerLetter"/>
      <w:lvlText w:val="%3."/>
      <w:lvlJc w:val="left"/>
      <w:pPr>
        <w:ind w:left="1071"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CD09A0"/>
    <w:multiLevelType w:val="hybridMultilevel"/>
    <w:tmpl w:val="D97611B8"/>
    <w:lvl w:ilvl="0" w:tplc="FD80DD8A">
      <w:start w:val="1"/>
      <w:numFmt w:val="lowerLetter"/>
      <w:lvlText w:val="%1."/>
      <w:lvlJc w:val="left"/>
      <w:pPr>
        <w:ind w:left="503"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BA303934">
      <w:numFmt w:val="bullet"/>
      <w:lvlText w:val="•"/>
      <w:lvlJc w:val="left"/>
      <w:pPr>
        <w:ind w:left="1328" w:hanging="360"/>
      </w:pPr>
      <w:rPr>
        <w:rFonts w:hint="default"/>
        <w:lang w:val="en-US" w:eastAsia="en-US" w:bidi="ar-SA"/>
      </w:rPr>
    </w:lvl>
    <w:lvl w:ilvl="2" w:tplc="F1528AE2">
      <w:numFmt w:val="bullet"/>
      <w:lvlText w:val="•"/>
      <w:lvlJc w:val="left"/>
      <w:pPr>
        <w:ind w:left="2157" w:hanging="360"/>
      </w:pPr>
      <w:rPr>
        <w:rFonts w:hint="default"/>
        <w:lang w:val="en-US" w:eastAsia="en-US" w:bidi="ar-SA"/>
      </w:rPr>
    </w:lvl>
    <w:lvl w:ilvl="3" w:tplc="6B889FB4">
      <w:numFmt w:val="bullet"/>
      <w:lvlText w:val="•"/>
      <w:lvlJc w:val="left"/>
      <w:pPr>
        <w:ind w:left="2986" w:hanging="360"/>
      </w:pPr>
      <w:rPr>
        <w:rFonts w:hint="default"/>
        <w:lang w:val="en-US" w:eastAsia="en-US" w:bidi="ar-SA"/>
      </w:rPr>
    </w:lvl>
    <w:lvl w:ilvl="4" w:tplc="2F424F6A">
      <w:numFmt w:val="bullet"/>
      <w:lvlText w:val="•"/>
      <w:lvlJc w:val="left"/>
      <w:pPr>
        <w:ind w:left="3815" w:hanging="360"/>
      </w:pPr>
      <w:rPr>
        <w:rFonts w:hint="default"/>
        <w:lang w:val="en-US" w:eastAsia="en-US" w:bidi="ar-SA"/>
      </w:rPr>
    </w:lvl>
    <w:lvl w:ilvl="5" w:tplc="F5B6CD18">
      <w:numFmt w:val="bullet"/>
      <w:lvlText w:val="•"/>
      <w:lvlJc w:val="left"/>
      <w:pPr>
        <w:ind w:left="4644" w:hanging="360"/>
      </w:pPr>
      <w:rPr>
        <w:rFonts w:hint="default"/>
        <w:lang w:val="en-US" w:eastAsia="en-US" w:bidi="ar-SA"/>
      </w:rPr>
    </w:lvl>
    <w:lvl w:ilvl="6" w:tplc="C87CC130">
      <w:numFmt w:val="bullet"/>
      <w:lvlText w:val="•"/>
      <w:lvlJc w:val="left"/>
      <w:pPr>
        <w:ind w:left="5473" w:hanging="360"/>
      </w:pPr>
      <w:rPr>
        <w:rFonts w:hint="default"/>
        <w:lang w:val="en-US" w:eastAsia="en-US" w:bidi="ar-SA"/>
      </w:rPr>
    </w:lvl>
    <w:lvl w:ilvl="7" w:tplc="F30838F2">
      <w:numFmt w:val="bullet"/>
      <w:lvlText w:val="•"/>
      <w:lvlJc w:val="left"/>
      <w:pPr>
        <w:ind w:left="6301" w:hanging="360"/>
      </w:pPr>
      <w:rPr>
        <w:rFonts w:hint="default"/>
        <w:lang w:val="en-US" w:eastAsia="en-US" w:bidi="ar-SA"/>
      </w:rPr>
    </w:lvl>
    <w:lvl w:ilvl="8" w:tplc="FAB6DA54">
      <w:numFmt w:val="bullet"/>
      <w:lvlText w:val="•"/>
      <w:lvlJc w:val="left"/>
      <w:pPr>
        <w:ind w:left="7130" w:hanging="360"/>
      </w:pPr>
      <w:rPr>
        <w:rFonts w:hint="default"/>
        <w:lang w:val="en-US" w:eastAsia="en-US" w:bidi="ar-SA"/>
      </w:rPr>
    </w:lvl>
  </w:abstractNum>
  <w:abstractNum w:abstractNumId="10" w15:restartNumberingAfterBreak="0">
    <w:nsid w:val="29F96C5D"/>
    <w:multiLevelType w:val="multilevel"/>
    <w:tmpl w:val="14D45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315AF2"/>
    <w:multiLevelType w:val="hybridMultilevel"/>
    <w:tmpl w:val="78CA4D3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D94411C"/>
    <w:multiLevelType w:val="hybridMultilevel"/>
    <w:tmpl w:val="313E5D1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D955A02"/>
    <w:multiLevelType w:val="hybridMultilevel"/>
    <w:tmpl w:val="8DD00EE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24713A6"/>
    <w:multiLevelType w:val="hybridMultilevel"/>
    <w:tmpl w:val="160656CC"/>
    <w:lvl w:ilvl="0" w:tplc="3809000F">
      <w:start w:val="1"/>
      <w:numFmt w:val="decimal"/>
      <w:lvlText w:val="%1."/>
      <w:lvlJc w:val="left"/>
      <w:pPr>
        <w:ind w:left="851" w:hanging="360"/>
      </w:pPr>
      <w:rPr>
        <w:rFonts w:hint="default"/>
        <w:b w:val="0"/>
        <w:bCs w:val="0"/>
        <w:i w:val="0"/>
        <w:iCs w:val="0"/>
        <w:spacing w:val="0"/>
        <w:w w:val="100"/>
        <w:sz w:val="22"/>
        <w:szCs w:val="22"/>
        <w:lang w:val="en-US" w:eastAsia="en-US" w:bidi="ar-SA"/>
      </w:rPr>
    </w:lvl>
    <w:lvl w:ilvl="1" w:tplc="FFFFFFFF">
      <w:numFmt w:val="bullet"/>
      <w:lvlText w:val="•"/>
      <w:lvlJc w:val="left"/>
      <w:pPr>
        <w:ind w:left="1652" w:hanging="360"/>
      </w:pPr>
      <w:rPr>
        <w:rFonts w:hint="default"/>
        <w:lang w:val="en-US" w:eastAsia="en-US" w:bidi="ar-SA"/>
      </w:rPr>
    </w:lvl>
    <w:lvl w:ilvl="2" w:tplc="FFFFFFFF">
      <w:numFmt w:val="bullet"/>
      <w:lvlText w:val="•"/>
      <w:lvlJc w:val="left"/>
      <w:pPr>
        <w:ind w:left="2445" w:hanging="360"/>
      </w:pPr>
      <w:rPr>
        <w:rFonts w:hint="default"/>
        <w:lang w:val="en-US" w:eastAsia="en-US" w:bidi="ar-SA"/>
      </w:rPr>
    </w:lvl>
    <w:lvl w:ilvl="3" w:tplc="FFFFFFFF">
      <w:numFmt w:val="bullet"/>
      <w:lvlText w:val="•"/>
      <w:lvlJc w:val="left"/>
      <w:pPr>
        <w:ind w:left="3238" w:hanging="360"/>
      </w:pPr>
      <w:rPr>
        <w:rFonts w:hint="default"/>
        <w:lang w:val="en-US" w:eastAsia="en-US" w:bidi="ar-SA"/>
      </w:rPr>
    </w:lvl>
    <w:lvl w:ilvl="4" w:tplc="FFFFFFFF">
      <w:numFmt w:val="bullet"/>
      <w:lvlText w:val="•"/>
      <w:lvlJc w:val="left"/>
      <w:pPr>
        <w:ind w:left="4031" w:hanging="360"/>
      </w:pPr>
      <w:rPr>
        <w:rFonts w:hint="default"/>
        <w:lang w:val="en-US" w:eastAsia="en-US" w:bidi="ar-SA"/>
      </w:rPr>
    </w:lvl>
    <w:lvl w:ilvl="5" w:tplc="FFFFFFFF">
      <w:numFmt w:val="bullet"/>
      <w:lvlText w:val="•"/>
      <w:lvlJc w:val="left"/>
      <w:pPr>
        <w:ind w:left="4824" w:hanging="360"/>
      </w:pPr>
      <w:rPr>
        <w:rFonts w:hint="default"/>
        <w:lang w:val="en-US" w:eastAsia="en-US" w:bidi="ar-SA"/>
      </w:rPr>
    </w:lvl>
    <w:lvl w:ilvl="6" w:tplc="FFFFFFFF">
      <w:numFmt w:val="bullet"/>
      <w:lvlText w:val="•"/>
      <w:lvlJc w:val="left"/>
      <w:pPr>
        <w:ind w:left="5617" w:hanging="360"/>
      </w:pPr>
      <w:rPr>
        <w:rFonts w:hint="default"/>
        <w:lang w:val="en-US" w:eastAsia="en-US" w:bidi="ar-SA"/>
      </w:rPr>
    </w:lvl>
    <w:lvl w:ilvl="7" w:tplc="FFFFFFFF">
      <w:numFmt w:val="bullet"/>
      <w:lvlText w:val="•"/>
      <w:lvlJc w:val="left"/>
      <w:pPr>
        <w:ind w:left="6409" w:hanging="360"/>
      </w:pPr>
      <w:rPr>
        <w:rFonts w:hint="default"/>
        <w:lang w:val="en-US" w:eastAsia="en-US" w:bidi="ar-SA"/>
      </w:rPr>
    </w:lvl>
    <w:lvl w:ilvl="8" w:tplc="FFFFFFFF">
      <w:numFmt w:val="bullet"/>
      <w:lvlText w:val="•"/>
      <w:lvlJc w:val="left"/>
      <w:pPr>
        <w:ind w:left="7202" w:hanging="360"/>
      </w:pPr>
      <w:rPr>
        <w:rFonts w:hint="default"/>
        <w:lang w:val="en-US" w:eastAsia="en-US" w:bidi="ar-SA"/>
      </w:rPr>
    </w:lvl>
  </w:abstractNum>
  <w:abstractNum w:abstractNumId="15" w15:restartNumberingAfterBreak="0">
    <w:nsid w:val="352B672B"/>
    <w:multiLevelType w:val="hybridMultilevel"/>
    <w:tmpl w:val="5B9CCAA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EB43792"/>
    <w:multiLevelType w:val="multilevel"/>
    <w:tmpl w:val="2E165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D61167"/>
    <w:multiLevelType w:val="hybridMultilevel"/>
    <w:tmpl w:val="B0BED8A0"/>
    <w:lvl w:ilvl="0" w:tplc="128A796A">
      <w:start w:val="1"/>
      <w:numFmt w:val="decimal"/>
      <w:lvlText w:val="%1."/>
      <w:lvlJc w:val="left"/>
      <w:pPr>
        <w:ind w:left="426" w:hanging="284"/>
      </w:pPr>
      <w:rPr>
        <w:rFonts w:ascii="Times New Roman" w:eastAsia="Times New Roman" w:hAnsi="Times New Roman" w:cs="Times New Roman" w:hint="default"/>
        <w:b w:val="0"/>
        <w:bCs w:val="0"/>
        <w:i w:val="0"/>
        <w:iCs w:val="0"/>
        <w:spacing w:val="0"/>
        <w:w w:val="100"/>
        <w:sz w:val="24"/>
        <w:szCs w:val="24"/>
        <w:lang w:val="en-US" w:eastAsia="en-US" w:bidi="ar-SA"/>
      </w:rPr>
    </w:lvl>
    <w:lvl w:ilvl="1" w:tplc="520AD9CE">
      <w:numFmt w:val="bullet"/>
      <w:lvlText w:val="•"/>
      <w:lvlJc w:val="left"/>
      <w:pPr>
        <w:ind w:left="1256" w:hanging="284"/>
      </w:pPr>
      <w:rPr>
        <w:rFonts w:hint="default"/>
        <w:lang w:val="en-US" w:eastAsia="en-US" w:bidi="ar-SA"/>
      </w:rPr>
    </w:lvl>
    <w:lvl w:ilvl="2" w:tplc="476C90FA">
      <w:numFmt w:val="bullet"/>
      <w:lvlText w:val="•"/>
      <w:lvlJc w:val="left"/>
      <w:pPr>
        <w:ind w:left="2093" w:hanging="284"/>
      </w:pPr>
      <w:rPr>
        <w:rFonts w:hint="default"/>
        <w:lang w:val="en-US" w:eastAsia="en-US" w:bidi="ar-SA"/>
      </w:rPr>
    </w:lvl>
    <w:lvl w:ilvl="3" w:tplc="74206868">
      <w:numFmt w:val="bullet"/>
      <w:lvlText w:val="•"/>
      <w:lvlJc w:val="left"/>
      <w:pPr>
        <w:ind w:left="2930" w:hanging="284"/>
      </w:pPr>
      <w:rPr>
        <w:rFonts w:hint="default"/>
        <w:lang w:val="en-US" w:eastAsia="en-US" w:bidi="ar-SA"/>
      </w:rPr>
    </w:lvl>
    <w:lvl w:ilvl="4" w:tplc="E0B07D70">
      <w:numFmt w:val="bullet"/>
      <w:lvlText w:val="•"/>
      <w:lvlJc w:val="left"/>
      <w:pPr>
        <w:ind w:left="3767" w:hanging="284"/>
      </w:pPr>
      <w:rPr>
        <w:rFonts w:hint="default"/>
        <w:lang w:val="en-US" w:eastAsia="en-US" w:bidi="ar-SA"/>
      </w:rPr>
    </w:lvl>
    <w:lvl w:ilvl="5" w:tplc="C276C66C">
      <w:numFmt w:val="bullet"/>
      <w:lvlText w:val="•"/>
      <w:lvlJc w:val="left"/>
      <w:pPr>
        <w:ind w:left="4604" w:hanging="284"/>
      </w:pPr>
      <w:rPr>
        <w:rFonts w:hint="default"/>
        <w:lang w:val="en-US" w:eastAsia="en-US" w:bidi="ar-SA"/>
      </w:rPr>
    </w:lvl>
    <w:lvl w:ilvl="6" w:tplc="9724EF94">
      <w:numFmt w:val="bullet"/>
      <w:lvlText w:val="•"/>
      <w:lvlJc w:val="left"/>
      <w:pPr>
        <w:ind w:left="5441" w:hanging="284"/>
      </w:pPr>
      <w:rPr>
        <w:rFonts w:hint="default"/>
        <w:lang w:val="en-US" w:eastAsia="en-US" w:bidi="ar-SA"/>
      </w:rPr>
    </w:lvl>
    <w:lvl w:ilvl="7" w:tplc="945881D0">
      <w:numFmt w:val="bullet"/>
      <w:lvlText w:val="•"/>
      <w:lvlJc w:val="left"/>
      <w:pPr>
        <w:ind w:left="6277" w:hanging="284"/>
      </w:pPr>
      <w:rPr>
        <w:rFonts w:hint="default"/>
        <w:lang w:val="en-US" w:eastAsia="en-US" w:bidi="ar-SA"/>
      </w:rPr>
    </w:lvl>
    <w:lvl w:ilvl="8" w:tplc="9374764E">
      <w:numFmt w:val="bullet"/>
      <w:lvlText w:val="•"/>
      <w:lvlJc w:val="left"/>
      <w:pPr>
        <w:ind w:left="7114" w:hanging="284"/>
      </w:pPr>
      <w:rPr>
        <w:rFonts w:hint="default"/>
        <w:lang w:val="en-US" w:eastAsia="en-US" w:bidi="ar-SA"/>
      </w:rPr>
    </w:lvl>
  </w:abstractNum>
  <w:abstractNum w:abstractNumId="18" w15:restartNumberingAfterBreak="0">
    <w:nsid w:val="4DCE1393"/>
    <w:multiLevelType w:val="hybridMultilevel"/>
    <w:tmpl w:val="A35ED398"/>
    <w:lvl w:ilvl="0" w:tplc="A398A746">
      <w:start w:val="1"/>
      <w:numFmt w:val="decimal"/>
      <w:lvlText w:val="%1."/>
      <w:lvlJc w:val="left"/>
      <w:pPr>
        <w:ind w:left="851" w:hanging="360"/>
      </w:pPr>
      <w:rPr>
        <w:rFonts w:hint="default"/>
      </w:rPr>
    </w:lvl>
    <w:lvl w:ilvl="1" w:tplc="3809000F">
      <w:start w:val="1"/>
      <w:numFmt w:val="decimal"/>
      <w:lvlText w:val="%2."/>
      <w:lvlJc w:val="left"/>
      <w:pPr>
        <w:ind w:left="851"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FA95157"/>
    <w:multiLevelType w:val="hybridMultilevel"/>
    <w:tmpl w:val="684A58B0"/>
    <w:lvl w:ilvl="0" w:tplc="E66C4B7E">
      <w:start w:val="1"/>
      <w:numFmt w:val="decimal"/>
      <w:lvlText w:val="%1."/>
      <w:lvlJc w:val="left"/>
      <w:pPr>
        <w:ind w:left="426" w:hanging="284"/>
      </w:pPr>
      <w:rPr>
        <w:rFonts w:ascii="Times New Roman" w:eastAsia="Times New Roman" w:hAnsi="Times New Roman" w:cs="Times New Roman" w:hint="default"/>
        <w:b/>
        <w:bCs/>
        <w:i w:val="0"/>
        <w:iCs w:val="0"/>
        <w:spacing w:val="0"/>
        <w:w w:val="100"/>
        <w:sz w:val="24"/>
        <w:szCs w:val="24"/>
        <w:lang w:val="id" w:eastAsia="en-US" w:bidi="ar-SA"/>
      </w:rPr>
    </w:lvl>
    <w:lvl w:ilvl="1" w:tplc="A8EE52E6">
      <w:numFmt w:val="bullet"/>
      <w:lvlText w:val="•"/>
      <w:lvlJc w:val="left"/>
      <w:pPr>
        <w:ind w:left="1341" w:hanging="284"/>
      </w:pPr>
      <w:rPr>
        <w:rFonts w:hint="default"/>
        <w:lang w:val="id" w:eastAsia="en-US" w:bidi="ar-SA"/>
      </w:rPr>
    </w:lvl>
    <w:lvl w:ilvl="2" w:tplc="91E22ABA">
      <w:numFmt w:val="bullet"/>
      <w:lvlText w:val="•"/>
      <w:lvlJc w:val="left"/>
      <w:pPr>
        <w:ind w:left="2263" w:hanging="284"/>
      </w:pPr>
      <w:rPr>
        <w:rFonts w:hint="default"/>
        <w:lang w:val="id" w:eastAsia="en-US" w:bidi="ar-SA"/>
      </w:rPr>
    </w:lvl>
    <w:lvl w:ilvl="3" w:tplc="A9F6E168">
      <w:numFmt w:val="bullet"/>
      <w:lvlText w:val="•"/>
      <w:lvlJc w:val="left"/>
      <w:pPr>
        <w:ind w:left="3185" w:hanging="284"/>
      </w:pPr>
      <w:rPr>
        <w:rFonts w:hint="default"/>
        <w:lang w:val="id" w:eastAsia="en-US" w:bidi="ar-SA"/>
      </w:rPr>
    </w:lvl>
    <w:lvl w:ilvl="4" w:tplc="DCC4F6CE">
      <w:numFmt w:val="bullet"/>
      <w:lvlText w:val="•"/>
      <w:lvlJc w:val="left"/>
      <w:pPr>
        <w:ind w:left="4107" w:hanging="284"/>
      </w:pPr>
      <w:rPr>
        <w:rFonts w:hint="default"/>
        <w:lang w:val="id" w:eastAsia="en-US" w:bidi="ar-SA"/>
      </w:rPr>
    </w:lvl>
    <w:lvl w:ilvl="5" w:tplc="E2CC38B0">
      <w:numFmt w:val="bullet"/>
      <w:lvlText w:val="•"/>
      <w:lvlJc w:val="left"/>
      <w:pPr>
        <w:ind w:left="5029" w:hanging="284"/>
      </w:pPr>
      <w:rPr>
        <w:rFonts w:hint="default"/>
        <w:lang w:val="id" w:eastAsia="en-US" w:bidi="ar-SA"/>
      </w:rPr>
    </w:lvl>
    <w:lvl w:ilvl="6" w:tplc="0A2E04C4">
      <w:numFmt w:val="bullet"/>
      <w:lvlText w:val="•"/>
      <w:lvlJc w:val="left"/>
      <w:pPr>
        <w:ind w:left="5951" w:hanging="284"/>
      </w:pPr>
      <w:rPr>
        <w:rFonts w:hint="default"/>
        <w:lang w:val="id" w:eastAsia="en-US" w:bidi="ar-SA"/>
      </w:rPr>
    </w:lvl>
    <w:lvl w:ilvl="7" w:tplc="2C866F56">
      <w:numFmt w:val="bullet"/>
      <w:lvlText w:val="•"/>
      <w:lvlJc w:val="left"/>
      <w:pPr>
        <w:ind w:left="6873" w:hanging="284"/>
      </w:pPr>
      <w:rPr>
        <w:rFonts w:hint="default"/>
        <w:lang w:val="id" w:eastAsia="en-US" w:bidi="ar-SA"/>
      </w:rPr>
    </w:lvl>
    <w:lvl w:ilvl="8" w:tplc="C59C6EF4">
      <w:numFmt w:val="bullet"/>
      <w:lvlText w:val="•"/>
      <w:lvlJc w:val="left"/>
      <w:pPr>
        <w:ind w:left="7795" w:hanging="284"/>
      </w:pPr>
      <w:rPr>
        <w:rFonts w:hint="default"/>
        <w:lang w:val="id" w:eastAsia="en-US" w:bidi="ar-SA"/>
      </w:rPr>
    </w:lvl>
  </w:abstractNum>
  <w:abstractNum w:abstractNumId="20" w15:restartNumberingAfterBreak="0">
    <w:nsid w:val="52A82FBC"/>
    <w:multiLevelType w:val="hybridMultilevel"/>
    <w:tmpl w:val="FD8469CE"/>
    <w:lvl w:ilvl="0" w:tplc="8C168DA0">
      <w:start w:val="1"/>
      <w:numFmt w:val="decimal"/>
      <w:lvlText w:val="%1."/>
      <w:lvlJc w:val="left"/>
      <w:pPr>
        <w:ind w:left="383" w:hanging="240"/>
      </w:pPr>
      <w:rPr>
        <w:rFonts w:ascii="Times New Roman" w:eastAsia="Times New Roman" w:hAnsi="Times New Roman" w:cs="Times New Roman" w:hint="default"/>
        <w:b w:val="0"/>
        <w:bCs w:val="0"/>
        <w:i w:val="0"/>
        <w:iCs w:val="0"/>
        <w:color w:val="auto"/>
        <w:spacing w:val="0"/>
        <w:w w:val="100"/>
        <w:sz w:val="22"/>
        <w:szCs w:val="22"/>
        <w:lang w:val="en-US" w:eastAsia="en-US" w:bidi="ar-SA"/>
      </w:rPr>
    </w:lvl>
    <w:lvl w:ilvl="1" w:tplc="3809000F">
      <w:start w:val="1"/>
      <w:numFmt w:val="decimal"/>
      <w:lvlText w:val="%2."/>
      <w:lvlJc w:val="left"/>
      <w:pPr>
        <w:ind w:left="785" w:hanging="360"/>
      </w:pPr>
    </w:lvl>
    <w:lvl w:ilvl="2" w:tplc="DA163288">
      <w:start w:val="1"/>
      <w:numFmt w:val="lowerLetter"/>
      <w:lvlText w:val="%3."/>
      <w:lvlJc w:val="left"/>
      <w:pPr>
        <w:ind w:left="995" w:hanging="284"/>
      </w:pPr>
      <w:rPr>
        <w:rFonts w:ascii="Times New Roman" w:eastAsia="Times New Roman" w:hAnsi="Times New Roman" w:cs="Times New Roman" w:hint="default"/>
        <w:b w:val="0"/>
        <w:bCs w:val="0"/>
        <w:i w:val="0"/>
        <w:iCs w:val="0"/>
        <w:spacing w:val="-1"/>
        <w:w w:val="100"/>
        <w:sz w:val="24"/>
        <w:szCs w:val="24"/>
        <w:lang w:val="en-US" w:eastAsia="en-US" w:bidi="ar-SA"/>
      </w:rPr>
    </w:lvl>
    <w:lvl w:ilvl="3" w:tplc="D11465DE">
      <w:numFmt w:val="bullet"/>
      <w:lvlText w:val="•"/>
      <w:lvlJc w:val="left"/>
      <w:pPr>
        <w:ind w:left="860" w:hanging="284"/>
      </w:pPr>
      <w:rPr>
        <w:rFonts w:hint="default"/>
        <w:lang w:val="en-US" w:eastAsia="en-US" w:bidi="ar-SA"/>
      </w:rPr>
    </w:lvl>
    <w:lvl w:ilvl="4" w:tplc="86B657A4">
      <w:numFmt w:val="bullet"/>
      <w:lvlText w:val="•"/>
      <w:lvlJc w:val="left"/>
      <w:pPr>
        <w:ind w:left="1000" w:hanging="284"/>
      </w:pPr>
      <w:rPr>
        <w:rFonts w:hint="default"/>
        <w:lang w:val="en-US" w:eastAsia="en-US" w:bidi="ar-SA"/>
      </w:rPr>
    </w:lvl>
    <w:lvl w:ilvl="5" w:tplc="90FC9A88">
      <w:numFmt w:val="bullet"/>
      <w:lvlText w:val="•"/>
      <w:lvlJc w:val="left"/>
      <w:pPr>
        <w:ind w:left="2298" w:hanging="284"/>
      </w:pPr>
      <w:rPr>
        <w:rFonts w:hint="default"/>
        <w:lang w:val="en-US" w:eastAsia="en-US" w:bidi="ar-SA"/>
      </w:rPr>
    </w:lvl>
    <w:lvl w:ilvl="6" w:tplc="E38E666E">
      <w:numFmt w:val="bullet"/>
      <w:lvlText w:val="•"/>
      <w:lvlJc w:val="left"/>
      <w:pPr>
        <w:ind w:left="3596" w:hanging="284"/>
      </w:pPr>
      <w:rPr>
        <w:rFonts w:hint="default"/>
        <w:lang w:val="en-US" w:eastAsia="en-US" w:bidi="ar-SA"/>
      </w:rPr>
    </w:lvl>
    <w:lvl w:ilvl="7" w:tplc="E50A77BC">
      <w:numFmt w:val="bullet"/>
      <w:lvlText w:val="•"/>
      <w:lvlJc w:val="left"/>
      <w:pPr>
        <w:ind w:left="4894" w:hanging="284"/>
      </w:pPr>
      <w:rPr>
        <w:rFonts w:hint="default"/>
        <w:lang w:val="en-US" w:eastAsia="en-US" w:bidi="ar-SA"/>
      </w:rPr>
    </w:lvl>
    <w:lvl w:ilvl="8" w:tplc="FA9CE8C4">
      <w:numFmt w:val="bullet"/>
      <w:lvlText w:val="•"/>
      <w:lvlJc w:val="left"/>
      <w:pPr>
        <w:ind w:left="6192" w:hanging="284"/>
      </w:pPr>
      <w:rPr>
        <w:rFonts w:hint="default"/>
        <w:lang w:val="en-US" w:eastAsia="en-US" w:bidi="ar-SA"/>
      </w:rPr>
    </w:lvl>
  </w:abstractNum>
  <w:abstractNum w:abstractNumId="21" w15:restartNumberingAfterBreak="0">
    <w:nsid w:val="555203E3"/>
    <w:multiLevelType w:val="hybridMultilevel"/>
    <w:tmpl w:val="0E5ACF5E"/>
    <w:lvl w:ilvl="0" w:tplc="3809000F">
      <w:start w:val="1"/>
      <w:numFmt w:val="decimal"/>
      <w:lvlText w:val="%1."/>
      <w:lvlJc w:val="left"/>
      <w:pPr>
        <w:ind w:left="709" w:hanging="284"/>
      </w:pPr>
      <w:rPr>
        <w:rFonts w:hint="default"/>
        <w:b w:val="0"/>
        <w:bCs w:val="0"/>
        <w:i w:val="0"/>
        <w:iCs w:val="0"/>
        <w:spacing w:val="-1"/>
        <w:w w:val="100"/>
        <w:sz w:val="24"/>
        <w:szCs w:val="24"/>
        <w:lang w:val="en-US" w:eastAsia="en-US" w:bidi="ar-SA"/>
      </w:rPr>
    </w:lvl>
    <w:lvl w:ilvl="1" w:tplc="FFFFFFFF">
      <w:numFmt w:val="bullet"/>
      <w:lvlText w:val="•"/>
      <w:lvlJc w:val="left"/>
      <w:pPr>
        <w:ind w:left="1508" w:hanging="284"/>
      </w:pPr>
      <w:rPr>
        <w:rFonts w:hint="default"/>
        <w:lang w:val="en-US" w:eastAsia="en-US" w:bidi="ar-SA"/>
      </w:rPr>
    </w:lvl>
    <w:lvl w:ilvl="2" w:tplc="FFFFFFFF">
      <w:numFmt w:val="bullet"/>
      <w:lvlText w:val="•"/>
      <w:lvlJc w:val="left"/>
      <w:pPr>
        <w:ind w:left="2317" w:hanging="284"/>
      </w:pPr>
      <w:rPr>
        <w:rFonts w:hint="default"/>
        <w:lang w:val="en-US" w:eastAsia="en-US" w:bidi="ar-SA"/>
      </w:rPr>
    </w:lvl>
    <w:lvl w:ilvl="3" w:tplc="FFFFFFFF">
      <w:numFmt w:val="bullet"/>
      <w:lvlText w:val="•"/>
      <w:lvlJc w:val="left"/>
      <w:pPr>
        <w:ind w:left="3126" w:hanging="284"/>
      </w:pPr>
      <w:rPr>
        <w:rFonts w:hint="default"/>
        <w:lang w:val="en-US" w:eastAsia="en-US" w:bidi="ar-SA"/>
      </w:rPr>
    </w:lvl>
    <w:lvl w:ilvl="4" w:tplc="FFFFFFFF">
      <w:numFmt w:val="bullet"/>
      <w:lvlText w:val="•"/>
      <w:lvlJc w:val="left"/>
      <w:pPr>
        <w:ind w:left="3935" w:hanging="284"/>
      </w:pPr>
      <w:rPr>
        <w:rFonts w:hint="default"/>
        <w:lang w:val="en-US" w:eastAsia="en-US" w:bidi="ar-SA"/>
      </w:rPr>
    </w:lvl>
    <w:lvl w:ilvl="5" w:tplc="FFFFFFFF">
      <w:numFmt w:val="bullet"/>
      <w:lvlText w:val="•"/>
      <w:lvlJc w:val="left"/>
      <w:pPr>
        <w:ind w:left="4744" w:hanging="284"/>
      </w:pPr>
      <w:rPr>
        <w:rFonts w:hint="default"/>
        <w:lang w:val="en-US" w:eastAsia="en-US" w:bidi="ar-SA"/>
      </w:rPr>
    </w:lvl>
    <w:lvl w:ilvl="6" w:tplc="FFFFFFFF">
      <w:numFmt w:val="bullet"/>
      <w:lvlText w:val="•"/>
      <w:lvlJc w:val="left"/>
      <w:pPr>
        <w:ind w:left="5553" w:hanging="284"/>
      </w:pPr>
      <w:rPr>
        <w:rFonts w:hint="default"/>
        <w:lang w:val="en-US" w:eastAsia="en-US" w:bidi="ar-SA"/>
      </w:rPr>
    </w:lvl>
    <w:lvl w:ilvl="7" w:tplc="FFFFFFFF">
      <w:numFmt w:val="bullet"/>
      <w:lvlText w:val="•"/>
      <w:lvlJc w:val="left"/>
      <w:pPr>
        <w:ind w:left="6361" w:hanging="284"/>
      </w:pPr>
      <w:rPr>
        <w:rFonts w:hint="default"/>
        <w:lang w:val="en-US" w:eastAsia="en-US" w:bidi="ar-SA"/>
      </w:rPr>
    </w:lvl>
    <w:lvl w:ilvl="8" w:tplc="FFFFFFFF">
      <w:numFmt w:val="bullet"/>
      <w:lvlText w:val="•"/>
      <w:lvlJc w:val="left"/>
      <w:pPr>
        <w:ind w:left="7170" w:hanging="284"/>
      </w:pPr>
      <w:rPr>
        <w:rFonts w:hint="default"/>
        <w:lang w:val="en-US" w:eastAsia="en-US" w:bidi="ar-SA"/>
      </w:rPr>
    </w:lvl>
  </w:abstractNum>
  <w:abstractNum w:abstractNumId="22" w15:restartNumberingAfterBreak="0">
    <w:nsid w:val="57AE685D"/>
    <w:multiLevelType w:val="hybridMultilevel"/>
    <w:tmpl w:val="FE906F6C"/>
    <w:lvl w:ilvl="0" w:tplc="F00461DE">
      <w:start w:val="1"/>
      <w:numFmt w:val="lowerLetter"/>
      <w:lvlText w:val="%1."/>
      <w:lvlJc w:val="left"/>
      <w:pPr>
        <w:ind w:left="851"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DCC40606">
      <w:numFmt w:val="bullet"/>
      <w:lvlText w:val="•"/>
      <w:lvlJc w:val="left"/>
      <w:pPr>
        <w:ind w:left="1652" w:hanging="360"/>
      </w:pPr>
      <w:rPr>
        <w:rFonts w:hint="default"/>
        <w:lang w:val="en-US" w:eastAsia="en-US" w:bidi="ar-SA"/>
      </w:rPr>
    </w:lvl>
    <w:lvl w:ilvl="2" w:tplc="8C5C51EE">
      <w:numFmt w:val="bullet"/>
      <w:lvlText w:val="•"/>
      <w:lvlJc w:val="left"/>
      <w:pPr>
        <w:ind w:left="2445" w:hanging="360"/>
      </w:pPr>
      <w:rPr>
        <w:rFonts w:hint="default"/>
        <w:lang w:val="en-US" w:eastAsia="en-US" w:bidi="ar-SA"/>
      </w:rPr>
    </w:lvl>
    <w:lvl w:ilvl="3" w:tplc="98CE95D2">
      <w:numFmt w:val="bullet"/>
      <w:lvlText w:val="•"/>
      <w:lvlJc w:val="left"/>
      <w:pPr>
        <w:ind w:left="3238" w:hanging="360"/>
      </w:pPr>
      <w:rPr>
        <w:rFonts w:hint="default"/>
        <w:lang w:val="en-US" w:eastAsia="en-US" w:bidi="ar-SA"/>
      </w:rPr>
    </w:lvl>
    <w:lvl w:ilvl="4" w:tplc="0BCCE93E">
      <w:numFmt w:val="bullet"/>
      <w:lvlText w:val="•"/>
      <w:lvlJc w:val="left"/>
      <w:pPr>
        <w:ind w:left="4031" w:hanging="360"/>
      </w:pPr>
      <w:rPr>
        <w:rFonts w:hint="default"/>
        <w:lang w:val="en-US" w:eastAsia="en-US" w:bidi="ar-SA"/>
      </w:rPr>
    </w:lvl>
    <w:lvl w:ilvl="5" w:tplc="7834EB0A">
      <w:numFmt w:val="bullet"/>
      <w:lvlText w:val="•"/>
      <w:lvlJc w:val="left"/>
      <w:pPr>
        <w:ind w:left="4824" w:hanging="360"/>
      </w:pPr>
      <w:rPr>
        <w:rFonts w:hint="default"/>
        <w:lang w:val="en-US" w:eastAsia="en-US" w:bidi="ar-SA"/>
      </w:rPr>
    </w:lvl>
    <w:lvl w:ilvl="6" w:tplc="7DF496C6">
      <w:numFmt w:val="bullet"/>
      <w:lvlText w:val="•"/>
      <w:lvlJc w:val="left"/>
      <w:pPr>
        <w:ind w:left="5617" w:hanging="360"/>
      </w:pPr>
      <w:rPr>
        <w:rFonts w:hint="default"/>
        <w:lang w:val="en-US" w:eastAsia="en-US" w:bidi="ar-SA"/>
      </w:rPr>
    </w:lvl>
    <w:lvl w:ilvl="7" w:tplc="96F0F446">
      <w:numFmt w:val="bullet"/>
      <w:lvlText w:val="•"/>
      <w:lvlJc w:val="left"/>
      <w:pPr>
        <w:ind w:left="6409" w:hanging="360"/>
      </w:pPr>
      <w:rPr>
        <w:rFonts w:hint="default"/>
        <w:lang w:val="en-US" w:eastAsia="en-US" w:bidi="ar-SA"/>
      </w:rPr>
    </w:lvl>
    <w:lvl w:ilvl="8" w:tplc="BB54FE52">
      <w:numFmt w:val="bullet"/>
      <w:lvlText w:val="•"/>
      <w:lvlJc w:val="left"/>
      <w:pPr>
        <w:ind w:left="7202" w:hanging="360"/>
      </w:pPr>
      <w:rPr>
        <w:rFonts w:hint="default"/>
        <w:lang w:val="en-US" w:eastAsia="en-US" w:bidi="ar-SA"/>
      </w:rPr>
    </w:lvl>
  </w:abstractNum>
  <w:abstractNum w:abstractNumId="23" w15:restartNumberingAfterBreak="0">
    <w:nsid w:val="5EDF5CD3"/>
    <w:multiLevelType w:val="hybridMultilevel"/>
    <w:tmpl w:val="DF14A300"/>
    <w:lvl w:ilvl="0" w:tplc="035C1A88">
      <w:start w:val="1"/>
      <w:numFmt w:val="decimal"/>
      <w:lvlText w:val="%1."/>
      <w:lvlJc w:val="left"/>
      <w:pPr>
        <w:ind w:left="383" w:hanging="240"/>
      </w:pPr>
      <w:rPr>
        <w:rFonts w:ascii="Times New Roman" w:eastAsia="Times New Roman" w:hAnsi="Times New Roman" w:cs="Times New Roman" w:hint="default"/>
        <w:b/>
        <w:bCs/>
        <w:i w:val="0"/>
        <w:iCs w:val="0"/>
        <w:spacing w:val="0"/>
        <w:w w:val="100"/>
        <w:sz w:val="24"/>
        <w:szCs w:val="24"/>
        <w:lang w:val="en-US" w:eastAsia="en-US" w:bidi="ar-SA"/>
      </w:rPr>
    </w:lvl>
    <w:lvl w:ilvl="1" w:tplc="3809000F">
      <w:start w:val="1"/>
      <w:numFmt w:val="decimal"/>
      <w:lvlText w:val="%2."/>
      <w:lvlJc w:val="left"/>
      <w:pPr>
        <w:ind w:left="785" w:hanging="360"/>
      </w:pPr>
    </w:lvl>
    <w:lvl w:ilvl="2" w:tplc="6F16F8D2">
      <w:numFmt w:val="bullet"/>
      <w:lvlText w:val="•"/>
      <w:lvlJc w:val="left"/>
      <w:pPr>
        <w:ind w:left="1563" w:hanging="226"/>
      </w:pPr>
      <w:rPr>
        <w:rFonts w:hint="default"/>
        <w:lang w:val="en-US" w:eastAsia="en-US" w:bidi="ar-SA"/>
      </w:rPr>
    </w:lvl>
    <w:lvl w:ilvl="3" w:tplc="422C1304">
      <w:numFmt w:val="bullet"/>
      <w:lvlText w:val="•"/>
      <w:lvlJc w:val="left"/>
      <w:pPr>
        <w:ind w:left="2466" w:hanging="226"/>
      </w:pPr>
      <w:rPr>
        <w:rFonts w:hint="default"/>
        <w:lang w:val="en-US" w:eastAsia="en-US" w:bidi="ar-SA"/>
      </w:rPr>
    </w:lvl>
    <w:lvl w:ilvl="4" w:tplc="DD801E0A">
      <w:numFmt w:val="bullet"/>
      <w:lvlText w:val="•"/>
      <w:lvlJc w:val="left"/>
      <w:pPr>
        <w:ind w:left="3369" w:hanging="226"/>
      </w:pPr>
      <w:rPr>
        <w:rFonts w:hint="default"/>
        <w:lang w:val="en-US" w:eastAsia="en-US" w:bidi="ar-SA"/>
      </w:rPr>
    </w:lvl>
    <w:lvl w:ilvl="5" w:tplc="B8423AB8">
      <w:numFmt w:val="bullet"/>
      <w:lvlText w:val="•"/>
      <w:lvlJc w:val="left"/>
      <w:pPr>
        <w:ind w:left="4272" w:hanging="226"/>
      </w:pPr>
      <w:rPr>
        <w:rFonts w:hint="default"/>
        <w:lang w:val="en-US" w:eastAsia="en-US" w:bidi="ar-SA"/>
      </w:rPr>
    </w:lvl>
    <w:lvl w:ilvl="6" w:tplc="F7505186">
      <w:numFmt w:val="bullet"/>
      <w:lvlText w:val="•"/>
      <w:lvlJc w:val="left"/>
      <w:pPr>
        <w:ind w:left="5175" w:hanging="226"/>
      </w:pPr>
      <w:rPr>
        <w:rFonts w:hint="default"/>
        <w:lang w:val="en-US" w:eastAsia="en-US" w:bidi="ar-SA"/>
      </w:rPr>
    </w:lvl>
    <w:lvl w:ilvl="7" w:tplc="0776BBAE">
      <w:numFmt w:val="bullet"/>
      <w:lvlText w:val="•"/>
      <w:lvlJc w:val="left"/>
      <w:pPr>
        <w:ind w:left="6078" w:hanging="226"/>
      </w:pPr>
      <w:rPr>
        <w:rFonts w:hint="default"/>
        <w:lang w:val="en-US" w:eastAsia="en-US" w:bidi="ar-SA"/>
      </w:rPr>
    </w:lvl>
    <w:lvl w:ilvl="8" w:tplc="83C0FFCC">
      <w:numFmt w:val="bullet"/>
      <w:lvlText w:val="•"/>
      <w:lvlJc w:val="left"/>
      <w:pPr>
        <w:ind w:left="6982" w:hanging="226"/>
      </w:pPr>
      <w:rPr>
        <w:rFonts w:hint="default"/>
        <w:lang w:val="en-US" w:eastAsia="en-US" w:bidi="ar-SA"/>
      </w:rPr>
    </w:lvl>
  </w:abstractNum>
  <w:abstractNum w:abstractNumId="24" w15:restartNumberingAfterBreak="0">
    <w:nsid w:val="5F2E3E90"/>
    <w:multiLevelType w:val="hybridMultilevel"/>
    <w:tmpl w:val="C9F44534"/>
    <w:lvl w:ilvl="0" w:tplc="6FDCAD4A">
      <w:start w:val="1"/>
      <w:numFmt w:val="decimal"/>
      <w:lvlText w:val="%1."/>
      <w:lvlJc w:val="left"/>
      <w:pPr>
        <w:ind w:left="50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540AB92">
      <w:numFmt w:val="bullet"/>
      <w:lvlText w:val="•"/>
      <w:lvlJc w:val="left"/>
      <w:pPr>
        <w:ind w:left="1328" w:hanging="360"/>
      </w:pPr>
      <w:rPr>
        <w:rFonts w:hint="default"/>
        <w:lang w:val="en-US" w:eastAsia="en-US" w:bidi="ar-SA"/>
      </w:rPr>
    </w:lvl>
    <w:lvl w:ilvl="2" w:tplc="AE601864">
      <w:numFmt w:val="bullet"/>
      <w:lvlText w:val="•"/>
      <w:lvlJc w:val="left"/>
      <w:pPr>
        <w:ind w:left="2157" w:hanging="360"/>
      </w:pPr>
      <w:rPr>
        <w:rFonts w:hint="default"/>
        <w:lang w:val="en-US" w:eastAsia="en-US" w:bidi="ar-SA"/>
      </w:rPr>
    </w:lvl>
    <w:lvl w:ilvl="3" w:tplc="1BCA8024">
      <w:numFmt w:val="bullet"/>
      <w:lvlText w:val="•"/>
      <w:lvlJc w:val="left"/>
      <w:pPr>
        <w:ind w:left="2986" w:hanging="360"/>
      </w:pPr>
      <w:rPr>
        <w:rFonts w:hint="default"/>
        <w:lang w:val="en-US" w:eastAsia="en-US" w:bidi="ar-SA"/>
      </w:rPr>
    </w:lvl>
    <w:lvl w:ilvl="4" w:tplc="6D106F36">
      <w:numFmt w:val="bullet"/>
      <w:lvlText w:val="•"/>
      <w:lvlJc w:val="left"/>
      <w:pPr>
        <w:ind w:left="3815" w:hanging="360"/>
      </w:pPr>
      <w:rPr>
        <w:rFonts w:hint="default"/>
        <w:lang w:val="en-US" w:eastAsia="en-US" w:bidi="ar-SA"/>
      </w:rPr>
    </w:lvl>
    <w:lvl w:ilvl="5" w:tplc="0BB217CC">
      <w:numFmt w:val="bullet"/>
      <w:lvlText w:val="•"/>
      <w:lvlJc w:val="left"/>
      <w:pPr>
        <w:ind w:left="4644" w:hanging="360"/>
      </w:pPr>
      <w:rPr>
        <w:rFonts w:hint="default"/>
        <w:lang w:val="en-US" w:eastAsia="en-US" w:bidi="ar-SA"/>
      </w:rPr>
    </w:lvl>
    <w:lvl w:ilvl="6" w:tplc="3D902628">
      <w:numFmt w:val="bullet"/>
      <w:lvlText w:val="•"/>
      <w:lvlJc w:val="left"/>
      <w:pPr>
        <w:ind w:left="5473" w:hanging="360"/>
      </w:pPr>
      <w:rPr>
        <w:rFonts w:hint="default"/>
        <w:lang w:val="en-US" w:eastAsia="en-US" w:bidi="ar-SA"/>
      </w:rPr>
    </w:lvl>
    <w:lvl w:ilvl="7" w:tplc="2452D832">
      <w:numFmt w:val="bullet"/>
      <w:lvlText w:val="•"/>
      <w:lvlJc w:val="left"/>
      <w:pPr>
        <w:ind w:left="6301" w:hanging="360"/>
      </w:pPr>
      <w:rPr>
        <w:rFonts w:hint="default"/>
        <w:lang w:val="en-US" w:eastAsia="en-US" w:bidi="ar-SA"/>
      </w:rPr>
    </w:lvl>
    <w:lvl w:ilvl="8" w:tplc="7F742D80">
      <w:numFmt w:val="bullet"/>
      <w:lvlText w:val="•"/>
      <w:lvlJc w:val="left"/>
      <w:pPr>
        <w:ind w:left="7130" w:hanging="360"/>
      </w:pPr>
      <w:rPr>
        <w:rFonts w:hint="default"/>
        <w:lang w:val="en-US" w:eastAsia="en-US" w:bidi="ar-SA"/>
      </w:rPr>
    </w:lvl>
  </w:abstractNum>
  <w:abstractNum w:abstractNumId="25" w15:restartNumberingAfterBreak="0">
    <w:nsid w:val="6057341B"/>
    <w:multiLevelType w:val="hybridMultilevel"/>
    <w:tmpl w:val="190C2D14"/>
    <w:lvl w:ilvl="0" w:tplc="C85AC2B2">
      <w:start w:val="1"/>
      <w:numFmt w:val="decimal"/>
      <w:lvlText w:val="%1."/>
      <w:lvlJc w:val="left"/>
      <w:pPr>
        <w:ind w:left="1724" w:hanging="360"/>
      </w:pPr>
      <w:rPr>
        <w:rFonts w:ascii="Times New Roman" w:hAnsi="Times New Roman" w:cs="Times New Roman" w:hint="default"/>
      </w:rPr>
    </w:lvl>
    <w:lvl w:ilvl="1" w:tplc="38090019" w:tentative="1">
      <w:start w:val="1"/>
      <w:numFmt w:val="lowerLetter"/>
      <w:lvlText w:val="%2."/>
      <w:lvlJc w:val="left"/>
      <w:pPr>
        <w:ind w:left="2444" w:hanging="360"/>
      </w:pPr>
    </w:lvl>
    <w:lvl w:ilvl="2" w:tplc="3809001B" w:tentative="1">
      <w:start w:val="1"/>
      <w:numFmt w:val="lowerRoman"/>
      <w:lvlText w:val="%3."/>
      <w:lvlJc w:val="right"/>
      <w:pPr>
        <w:ind w:left="3164" w:hanging="180"/>
      </w:pPr>
    </w:lvl>
    <w:lvl w:ilvl="3" w:tplc="3809000F" w:tentative="1">
      <w:start w:val="1"/>
      <w:numFmt w:val="decimal"/>
      <w:lvlText w:val="%4."/>
      <w:lvlJc w:val="left"/>
      <w:pPr>
        <w:ind w:left="3884" w:hanging="360"/>
      </w:pPr>
    </w:lvl>
    <w:lvl w:ilvl="4" w:tplc="38090019" w:tentative="1">
      <w:start w:val="1"/>
      <w:numFmt w:val="lowerLetter"/>
      <w:lvlText w:val="%5."/>
      <w:lvlJc w:val="left"/>
      <w:pPr>
        <w:ind w:left="4604" w:hanging="360"/>
      </w:pPr>
    </w:lvl>
    <w:lvl w:ilvl="5" w:tplc="3809001B" w:tentative="1">
      <w:start w:val="1"/>
      <w:numFmt w:val="lowerRoman"/>
      <w:lvlText w:val="%6."/>
      <w:lvlJc w:val="right"/>
      <w:pPr>
        <w:ind w:left="5324" w:hanging="180"/>
      </w:pPr>
    </w:lvl>
    <w:lvl w:ilvl="6" w:tplc="3809000F" w:tentative="1">
      <w:start w:val="1"/>
      <w:numFmt w:val="decimal"/>
      <w:lvlText w:val="%7."/>
      <w:lvlJc w:val="left"/>
      <w:pPr>
        <w:ind w:left="6044" w:hanging="360"/>
      </w:pPr>
    </w:lvl>
    <w:lvl w:ilvl="7" w:tplc="38090019" w:tentative="1">
      <w:start w:val="1"/>
      <w:numFmt w:val="lowerLetter"/>
      <w:lvlText w:val="%8."/>
      <w:lvlJc w:val="left"/>
      <w:pPr>
        <w:ind w:left="6764" w:hanging="360"/>
      </w:pPr>
    </w:lvl>
    <w:lvl w:ilvl="8" w:tplc="3809001B" w:tentative="1">
      <w:start w:val="1"/>
      <w:numFmt w:val="lowerRoman"/>
      <w:lvlText w:val="%9."/>
      <w:lvlJc w:val="right"/>
      <w:pPr>
        <w:ind w:left="7484" w:hanging="180"/>
      </w:pPr>
    </w:lvl>
  </w:abstractNum>
  <w:abstractNum w:abstractNumId="26" w15:restartNumberingAfterBreak="0">
    <w:nsid w:val="65C61C7D"/>
    <w:multiLevelType w:val="hybridMultilevel"/>
    <w:tmpl w:val="242C1C34"/>
    <w:lvl w:ilvl="0" w:tplc="75CEE628">
      <w:start w:val="1"/>
      <w:numFmt w:val="decimal"/>
      <w:lvlText w:val="%1."/>
      <w:lvlJc w:val="left"/>
      <w:pPr>
        <w:ind w:left="426" w:hanging="284"/>
      </w:pPr>
      <w:rPr>
        <w:rFonts w:ascii="Times New Roman" w:eastAsia="Times New Roman" w:hAnsi="Times New Roman" w:cs="Times New Roman" w:hint="default"/>
        <w:b w:val="0"/>
        <w:bCs w:val="0"/>
        <w:i w:val="0"/>
        <w:iCs w:val="0"/>
        <w:spacing w:val="0"/>
        <w:w w:val="100"/>
        <w:sz w:val="22"/>
        <w:szCs w:val="22"/>
        <w:lang w:val="id" w:eastAsia="en-US" w:bidi="ar-SA"/>
      </w:rPr>
    </w:lvl>
    <w:lvl w:ilvl="1" w:tplc="083437D8">
      <w:start w:val="1"/>
      <w:numFmt w:val="lowerLetter"/>
      <w:lvlText w:val="%2."/>
      <w:lvlJc w:val="left"/>
      <w:pPr>
        <w:ind w:left="709" w:hanging="284"/>
      </w:pPr>
      <w:rPr>
        <w:rFonts w:ascii="Times New Roman" w:eastAsia="Times New Roman" w:hAnsi="Times New Roman" w:cs="Times New Roman" w:hint="default"/>
        <w:b w:val="0"/>
        <w:bCs w:val="0"/>
        <w:i/>
        <w:iCs/>
        <w:spacing w:val="0"/>
        <w:w w:val="100"/>
        <w:sz w:val="22"/>
        <w:szCs w:val="22"/>
        <w:lang w:val="id" w:eastAsia="en-US" w:bidi="ar-SA"/>
      </w:rPr>
    </w:lvl>
    <w:lvl w:ilvl="2" w:tplc="DA7686C4">
      <w:numFmt w:val="bullet"/>
      <w:lvlText w:val="•"/>
      <w:lvlJc w:val="left"/>
      <w:pPr>
        <w:ind w:left="1693" w:hanging="284"/>
      </w:pPr>
      <w:rPr>
        <w:rFonts w:hint="default"/>
        <w:lang w:val="id" w:eastAsia="en-US" w:bidi="ar-SA"/>
      </w:rPr>
    </w:lvl>
    <w:lvl w:ilvl="3" w:tplc="A978E8EC">
      <w:numFmt w:val="bullet"/>
      <w:lvlText w:val="•"/>
      <w:lvlJc w:val="left"/>
      <w:pPr>
        <w:ind w:left="2686" w:hanging="284"/>
      </w:pPr>
      <w:rPr>
        <w:rFonts w:hint="default"/>
        <w:lang w:val="id" w:eastAsia="en-US" w:bidi="ar-SA"/>
      </w:rPr>
    </w:lvl>
    <w:lvl w:ilvl="4" w:tplc="35C63EF4">
      <w:numFmt w:val="bullet"/>
      <w:lvlText w:val="•"/>
      <w:lvlJc w:val="left"/>
      <w:pPr>
        <w:ind w:left="3679" w:hanging="284"/>
      </w:pPr>
      <w:rPr>
        <w:rFonts w:hint="default"/>
        <w:lang w:val="id" w:eastAsia="en-US" w:bidi="ar-SA"/>
      </w:rPr>
    </w:lvl>
    <w:lvl w:ilvl="5" w:tplc="65D29FF0">
      <w:numFmt w:val="bullet"/>
      <w:lvlText w:val="•"/>
      <w:lvlJc w:val="left"/>
      <w:pPr>
        <w:ind w:left="4673" w:hanging="284"/>
      </w:pPr>
      <w:rPr>
        <w:rFonts w:hint="default"/>
        <w:lang w:val="id" w:eastAsia="en-US" w:bidi="ar-SA"/>
      </w:rPr>
    </w:lvl>
    <w:lvl w:ilvl="6" w:tplc="30CC4A80">
      <w:numFmt w:val="bullet"/>
      <w:lvlText w:val="•"/>
      <w:lvlJc w:val="left"/>
      <w:pPr>
        <w:ind w:left="5666" w:hanging="284"/>
      </w:pPr>
      <w:rPr>
        <w:rFonts w:hint="default"/>
        <w:lang w:val="id" w:eastAsia="en-US" w:bidi="ar-SA"/>
      </w:rPr>
    </w:lvl>
    <w:lvl w:ilvl="7" w:tplc="6F7EC22A">
      <w:numFmt w:val="bullet"/>
      <w:lvlText w:val="•"/>
      <w:lvlJc w:val="left"/>
      <w:pPr>
        <w:ind w:left="6659" w:hanging="284"/>
      </w:pPr>
      <w:rPr>
        <w:rFonts w:hint="default"/>
        <w:lang w:val="id" w:eastAsia="en-US" w:bidi="ar-SA"/>
      </w:rPr>
    </w:lvl>
    <w:lvl w:ilvl="8" w:tplc="67E2E8BE">
      <w:numFmt w:val="bullet"/>
      <w:lvlText w:val="•"/>
      <w:lvlJc w:val="left"/>
      <w:pPr>
        <w:ind w:left="7652" w:hanging="284"/>
      </w:pPr>
      <w:rPr>
        <w:rFonts w:hint="default"/>
        <w:lang w:val="id" w:eastAsia="en-US" w:bidi="ar-SA"/>
      </w:rPr>
    </w:lvl>
  </w:abstractNum>
  <w:abstractNum w:abstractNumId="27" w15:restartNumberingAfterBreak="0">
    <w:nsid w:val="68181D69"/>
    <w:multiLevelType w:val="hybridMultilevel"/>
    <w:tmpl w:val="06D2167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A7C6B61"/>
    <w:multiLevelType w:val="hybridMultilevel"/>
    <w:tmpl w:val="5602ED5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FB8309B"/>
    <w:multiLevelType w:val="hybridMultilevel"/>
    <w:tmpl w:val="2D00C5C2"/>
    <w:lvl w:ilvl="0" w:tplc="FFFFFFFF">
      <w:start w:val="1"/>
      <w:numFmt w:val="decimal"/>
      <w:lvlText w:val="%1."/>
      <w:lvlJc w:val="left"/>
      <w:pPr>
        <w:ind w:left="383" w:hanging="240"/>
      </w:pPr>
      <w:rPr>
        <w:rFonts w:ascii="Times New Roman" w:eastAsia="Times New Roman" w:hAnsi="Times New Roman" w:cs="Times New Roman" w:hint="default"/>
        <w:b w:val="0"/>
        <w:bCs w:val="0"/>
        <w:i w:val="0"/>
        <w:iCs w:val="0"/>
        <w:color w:val="auto"/>
        <w:spacing w:val="0"/>
        <w:w w:val="100"/>
        <w:sz w:val="22"/>
        <w:szCs w:val="22"/>
        <w:lang w:val="en-US" w:eastAsia="en-US" w:bidi="ar-SA"/>
      </w:rPr>
    </w:lvl>
    <w:lvl w:ilvl="1" w:tplc="FFFFFFFF">
      <w:start w:val="1"/>
      <w:numFmt w:val="decimal"/>
      <w:lvlText w:val="%2."/>
      <w:lvlJc w:val="left"/>
      <w:pPr>
        <w:ind w:left="785" w:hanging="360"/>
      </w:pPr>
      <w:rPr>
        <w:rFonts w:hint="default"/>
      </w:rPr>
    </w:lvl>
    <w:lvl w:ilvl="2" w:tplc="38090019">
      <w:start w:val="1"/>
      <w:numFmt w:val="lowerLetter"/>
      <w:lvlText w:val="%3."/>
      <w:lvlJc w:val="left"/>
      <w:pPr>
        <w:ind w:left="1071" w:hanging="360"/>
      </w:pPr>
    </w:lvl>
    <w:lvl w:ilvl="3" w:tplc="FFFFFFFF">
      <w:numFmt w:val="bullet"/>
      <w:lvlText w:val="•"/>
      <w:lvlJc w:val="left"/>
      <w:pPr>
        <w:ind w:left="860" w:hanging="284"/>
      </w:pPr>
      <w:rPr>
        <w:rFonts w:hint="default"/>
        <w:lang w:val="en-US" w:eastAsia="en-US" w:bidi="ar-SA"/>
      </w:rPr>
    </w:lvl>
    <w:lvl w:ilvl="4" w:tplc="FFFFFFFF">
      <w:numFmt w:val="bullet"/>
      <w:lvlText w:val="•"/>
      <w:lvlJc w:val="left"/>
      <w:pPr>
        <w:ind w:left="1000" w:hanging="284"/>
      </w:pPr>
      <w:rPr>
        <w:rFonts w:hint="default"/>
        <w:lang w:val="en-US" w:eastAsia="en-US" w:bidi="ar-SA"/>
      </w:rPr>
    </w:lvl>
    <w:lvl w:ilvl="5" w:tplc="FFFFFFFF">
      <w:numFmt w:val="bullet"/>
      <w:lvlText w:val="•"/>
      <w:lvlJc w:val="left"/>
      <w:pPr>
        <w:ind w:left="2298" w:hanging="284"/>
      </w:pPr>
      <w:rPr>
        <w:rFonts w:hint="default"/>
        <w:lang w:val="en-US" w:eastAsia="en-US" w:bidi="ar-SA"/>
      </w:rPr>
    </w:lvl>
    <w:lvl w:ilvl="6" w:tplc="FFFFFFFF">
      <w:numFmt w:val="bullet"/>
      <w:lvlText w:val="•"/>
      <w:lvlJc w:val="left"/>
      <w:pPr>
        <w:ind w:left="3596" w:hanging="284"/>
      </w:pPr>
      <w:rPr>
        <w:rFonts w:hint="default"/>
        <w:lang w:val="en-US" w:eastAsia="en-US" w:bidi="ar-SA"/>
      </w:rPr>
    </w:lvl>
    <w:lvl w:ilvl="7" w:tplc="FFFFFFFF">
      <w:numFmt w:val="bullet"/>
      <w:lvlText w:val="•"/>
      <w:lvlJc w:val="left"/>
      <w:pPr>
        <w:ind w:left="4894" w:hanging="284"/>
      </w:pPr>
      <w:rPr>
        <w:rFonts w:hint="default"/>
        <w:lang w:val="en-US" w:eastAsia="en-US" w:bidi="ar-SA"/>
      </w:rPr>
    </w:lvl>
    <w:lvl w:ilvl="8" w:tplc="FFFFFFFF">
      <w:numFmt w:val="bullet"/>
      <w:lvlText w:val="•"/>
      <w:lvlJc w:val="left"/>
      <w:pPr>
        <w:ind w:left="6192" w:hanging="284"/>
      </w:pPr>
      <w:rPr>
        <w:rFonts w:hint="default"/>
        <w:lang w:val="en-US" w:eastAsia="en-US" w:bidi="ar-SA"/>
      </w:rPr>
    </w:lvl>
  </w:abstractNum>
  <w:abstractNum w:abstractNumId="30" w15:restartNumberingAfterBreak="0">
    <w:nsid w:val="7059448B"/>
    <w:multiLevelType w:val="multilevel"/>
    <w:tmpl w:val="89E49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F61FD8"/>
    <w:multiLevelType w:val="hybridMultilevel"/>
    <w:tmpl w:val="CD782C26"/>
    <w:lvl w:ilvl="0" w:tplc="3809000F">
      <w:start w:val="1"/>
      <w:numFmt w:val="decimal"/>
      <w:lvlText w:val="%1."/>
      <w:lvlJc w:val="left"/>
      <w:pPr>
        <w:ind w:left="1724" w:hanging="360"/>
      </w:pPr>
    </w:lvl>
    <w:lvl w:ilvl="1" w:tplc="38090019" w:tentative="1">
      <w:start w:val="1"/>
      <w:numFmt w:val="lowerLetter"/>
      <w:lvlText w:val="%2."/>
      <w:lvlJc w:val="left"/>
      <w:pPr>
        <w:ind w:left="2444" w:hanging="360"/>
      </w:pPr>
    </w:lvl>
    <w:lvl w:ilvl="2" w:tplc="3809001B" w:tentative="1">
      <w:start w:val="1"/>
      <w:numFmt w:val="lowerRoman"/>
      <w:lvlText w:val="%3."/>
      <w:lvlJc w:val="right"/>
      <w:pPr>
        <w:ind w:left="3164" w:hanging="180"/>
      </w:pPr>
    </w:lvl>
    <w:lvl w:ilvl="3" w:tplc="3809000F" w:tentative="1">
      <w:start w:val="1"/>
      <w:numFmt w:val="decimal"/>
      <w:lvlText w:val="%4."/>
      <w:lvlJc w:val="left"/>
      <w:pPr>
        <w:ind w:left="3884" w:hanging="360"/>
      </w:pPr>
    </w:lvl>
    <w:lvl w:ilvl="4" w:tplc="38090019" w:tentative="1">
      <w:start w:val="1"/>
      <w:numFmt w:val="lowerLetter"/>
      <w:lvlText w:val="%5."/>
      <w:lvlJc w:val="left"/>
      <w:pPr>
        <w:ind w:left="4604" w:hanging="360"/>
      </w:pPr>
    </w:lvl>
    <w:lvl w:ilvl="5" w:tplc="3809001B" w:tentative="1">
      <w:start w:val="1"/>
      <w:numFmt w:val="lowerRoman"/>
      <w:lvlText w:val="%6."/>
      <w:lvlJc w:val="right"/>
      <w:pPr>
        <w:ind w:left="5324" w:hanging="180"/>
      </w:pPr>
    </w:lvl>
    <w:lvl w:ilvl="6" w:tplc="3809000F" w:tentative="1">
      <w:start w:val="1"/>
      <w:numFmt w:val="decimal"/>
      <w:lvlText w:val="%7."/>
      <w:lvlJc w:val="left"/>
      <w:pPr>
        <w:ind w:left="6044" w:hanging="360"/>
      </w:pPr>
    </w:lvl>
    <w:lvl w:ilvl="7" w:tplc="38090019" w:tentative="1">
      <w:start w:val="1"/>
      <w:numFmt w:val="lowerLetter"/>
      <w:lvlText w:val="%8."/>
      <w:lvlJc w:val="left"/>
      <w:pPr>
        <w:ind w:left="6764" w:hanging="360"/>
      </w:pPr>
    </w:lvl>
    <w:lvl w:ilvl="8" w:tplc="3809001B" w:tentative="1">
      <w:start w:val="1"/>
      <w:numFmt w:val="lowerRoman"/>
      <w:lvlText w:val="%9."/>
      <w:lvlJc w:val="right"/>
      <w:pPr>
        <w:ind w:left="7484" w:hanging="180"/>
      </w:pPr>
    </w:lvl>
  </w:abstractNum>
  <w:abstractNum w:abstractNumId="32" w15:restartNumberingAfterBreak="0">
    <w:nsid w:val="74984315"/>
    <w:multiLevelType w:val="hybridMultilevel"/>
    <w:tmpl w:val="9916858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75371C56"/>
    <w:multiLevelType w:val="hybridMultilevel"/>
    <w:tmpl w:val="731C5630"/>
    <w:lvl w:ilvl="0" w:tplc="E0E41E86">
      <w:start w:val="1"/>
      <w:numFmt w:val="lowerLetter"/>
      <w:lvlText w:val="%1."/>
      <w:lvlJc w:val="left"/>
      <w:pPr>
        <w:ind w:left="709" w:hanging="284"/>
      </w:pPr>
      <w:rPr>
        <w:rFonts w:ascii="Times New Roman" w:eastAsia="Times New Roman" w:hAnsi="Times New Roman" w:cs="Times New Roman" w:hint="default"/>
        <w:b w:val="0"/>
        <w:bCs w:val="0"/>
        <w:i w:val="0"/>
        <w:iCs w:val="0"/>
        <w:spacing w:val="-1"/>
        <w:w w:val="100"/>
        <w:sz w:val="24"/>
        <w:szCs w:val="24"/>
        <w:lang w:val="en-US" w:eastAsia="en-US" w:bidi="ar-SA"/>
      </w:rPr>
    </w:lvl>
    <w:lvl w:ilvl="1" w:tplc="4D3E9A20">
      <w:numFmt w:val="bullet"/>
      <w:lvlText w:val="•"/>
      <w:lvlJc w:val="left"/>
      <w:pPr>
        <w:ind w:left="1508" w:hanging="284"/>
      </w:pPr>
      <w:rPr>
        <w:rFonts w:hint="default"/>
        <w:lang w:val="en-US" w:eastAsia="en-US" w:bidi="ar-SA"/>
      </w:rPr>
    </w:lvl>
    <w:lvl w:ilvl="2" w:tplc="46A2497C">
      <w:numFmt w:val="bullet"/>
      <w:lvlText w:val="•"/>
      <w:lvlJc w:val="left"/>
      <w:pPr>
        <w:ind w:left="2317" w:hanging="284"/>
      </w:pPr>
      <w:rPr>
        <w:rFonts w:hint="default"/>
        <w:lang w:val="en-US" w:eastAsia="en-US" w:bidi="ar-SA"/>
      </w:rPr>
    </w:lvl>
    <w:lvl w:ilvl="3" w:tplc="9ADEA754">
      <w:numFmt w:val="bullet"/>
      <w:lvlText w:val="•"/>
      <w:lvlJc w:val="left"/>
      <w:pPr>
        <w:ind w:left="3126" w:hanging="284"/>
      </w:pPr>
      <w:rPr>
        <w:rFonts w:hint="default"/>
        <w:lang w:val="en-US" w:eastAsia="en-US" w:bidi="ar-SA"/>
      </w:rPr>
    </w:lvl>
    <w:lvl w:ilvl="4" w:tplc="E1287F9C">
      <w:numFmt w:val="bullet"/>
      <w:lvlText w:val="•"/>
      <w:lvlJc w:val="left"/>
      <w:pPr>
        <w:ind w:left="3935" w:hanging="284"/>
      </w:pPr>
      <w:rPr>
        <w:rFonts w:hint="default"/>
        <w:lang w:val="en-US" w:eastAsia="en-US" w:bidi="ar-SA"/>
      </w:rPr>
    </w:lvl>
    <w:lvl w:ilvl="5" w:tplc="15B2C95A">
      <w:numFmt w:val="bullet"/>
      <w:lvlText w:val="•"/>
      <w:lvlJc w:val="left"/>
      <w:pPr>
        <w:ind w:left="4744" w:hanging="284"/>
      </w:pPr>
      <w:rPr>
        <w:rFonts w:hint="default"/>
        <w:lang w:val="en-US" w:eastAsia="en-US" w:bidi="ar-SA"/>
      </w:rPr>
    </w:lvl>
    <w:lvl w:ilvl="6" w:tplc="037CE96C">
      <w:numFmt w:val="bullet"/>
      <w:lvlText w:val="•"/>
      <w:lvlJc w:val="left"/>
      <w:pPr>
        <w:ind w:left="5553" w:hanging="284"/>
      </w:pPr>
      <w:rPr>
        <w:rFonts w:hint="default"/>
        <w:lang w:val="en-US" w:eastAsia="en-US" w:bidi="ar-SA"/>
      </w:rPr>
    </w:lvl>
    <w:lvl w:ilvl="7" w:tplc="91168004">
      <w:numFmt w:val="bullet"/>
      <w:lvlText w:val="•"/>
      <w:lvlJc w:val="left"/>
      <w:pPr>
        <w:ind w:left="6361" w:hanging="284"/>
      </w:pPr>
      <w:rPr>
        <w:rFonts w:hint="default"/>
        <w:lang w:val="en-US" w:eastAsia="en-US" w:bidi="ar-SA"/>
      </w:rPr>
    </w:lvl>
    <w:lvl w:ilvl="8" w:tplc="BC1C05B2">
      <w:numFmt w:val="bullet"/>
      <w:lvlText w:val="•"/>
      <w:lvlJc w:val="left"/>
      <w:pPr>
        <w:ind w:left="7170" w:hanging="284"/>
      </w:pPr>
      <w:rPr>
        <w:rFonts w:hint="default"/>
        <w:lang w:val="en-US" w:eastAsia="en-US" w:bidi="ar-SA"/>
      </w:rPr>
    </w:lvl>
  </w:abstractNum>
  <w:abstractNum w:abstractNumId="34" w15:restartNumberingAfterBreak="0">
    <w:nsid w:val="76DB7B1E"/>
    <w:multiLevelType w:val="hybridMultilevel"/>
    <w:tmpl w:val="0E9CE55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7CA467BF"/>
    <w:multiLevelType w:val="hybridMultilevel"/>
    <w:tmpl w:val="8A42711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504660651">
    <w:abstractNumId w:val="17"/>
  </w:num>
  <w:num w:numId="2" w16cid:durableId="221672234">
    <w:abstractNumId w:val="24"/>
  </w:num>
  <w:num w:numId="3" w16cid:durableId="1004279957">
    <w:abstractNumId w:val="9"/>
  </w:num>
  <w:num w:numId="4" w16cid:durableId="536891874">
    <w:abstractNumId w:val="25"/>
  </w:num>
  <w:num w:numId="5" w16cid:durableId="403986983">
    <w:abstractNumId w:val="1"/>
  </w:num>
  <w:num w:numId="6" w16cid:durableId="2079014788">
    <w:abstractNumId w:val="31"/>
  </w:num>
  <w:num w:numId="7" w16cid:durableId="904608927">
    <w:abstractNumId w:val="2"/>
  </w:num>
  <w:num w:numId="8" w16cid:durableId="724254032">
    <w:abstractNumId w:val="4"/>
  </w:num>
  <w:num w:numId="9" w16cid:durableId="2027750410">
    <w:abstractNumId w:val="34"/>
  </w:num>
  <w:num w:numId="10" w16cid:durableId="1067191736">
    <w:abstractNumId w:val="12"/>
  </w:num>
  <w:num w:numId="11" w16cid:durableId="1020199214">
    <w:abstractNumId w:val="28"/>
  </w:num>
  <w:num w:numId="12" w16cid:durableId="325205556">
    <w:abstractNumId w:val="35"/>
  </w:num>
  <w:num w:numId="13" w16cid:durableId="207232248">
    <w:abstractNumId w:val="13"/>
  </w:num>
  <w:num w:numId="14" w16cid:durableId="283732304">
    <w:abstractNumId w:val="32"/>
  </w:num>
  <w:num w:numId="15" w16cid:durableId="600573553">
    <w:abstractNumId w:val="15"/>
  </w:num>
  <w:num w:numId="16" w16cid:durableId="859858574">
    <w:abstractNumId w:val="33"/>
  </w:num>
  <w:num w:numId="17" w16cid:durableId="1708529400">
    <w:abstractNumId w:val="22"/>
  </w:num>
  <w:num w:numId="18" w16cid:durableId="688915201">
    <w:abstractNumId w:val="20"/>
  </w:num>
  <w:num w:numId="19" w16cid:durableId="597908415">
    <w:abstractNumId w:val="27"/>
  </w:num>
  <w:num w:numId="20" w16cid:durableId="1022434151">
    <w:abstractNumId w:val="29"/>
  </w:num>
  <w:num w:numId="21" w16cid:durableId="137193618">
    <w:abstractNumId w:val="0"/>
  </w:num>
  <w:num w:numId="22" w16cid:durableId="958297751">
    <w:abstractNumId w:val="14"/>
  </w:num>
  <w:num w:numId="23" w16cid:durableId="815292952">
    <w:abstractNumId w:val="18"/>
  </w:num>
  <w:num w:numId="24" w16cid:durableId="251789985">
    <w:abstractNumId w:val="8"/>
  </w:num>
  <w:num w:numId="25" w16cid:durableId="636378335">
    <w:abstractNumId w:val="21"/>
  </w:num>
  <w:num w:numId="26" w16cid:durableId="383530938">
    <w:abstractNumId w:val="26"/>
  </w:num>
  <w:num w:numId="27" w16cid:durableId="1420952076">
    <w:abstractNumId w:val="19"/>
  </w:num>
  <w:num w:numId="28" w16cid:durableId="1356496533">
    <w:abstractNumId w:val="23"/>
  </w:num>
  <w:num w:numId="29" w16cid:durableId="563443483">
    <w:abstractNumId w:val="11"/>
  </w:num>
  <w:num w:numId="30" w16cid:durableId="63067520">
    <w:abstractNumId w:val="16"/>
  </w:num>
  <w:num w:numId="31" w16cid:durableId="696547331">
    <w:abstractNumId w:val="30"/>
  </w:num>
  <w:num w:numId="32" w16cid:durableId="186868811">
    <w:abstractNumId w:val="7"/>
  </w:num>
  <w:num w:numId="33" w16cid:durableId="866412110">
    <w:abstractNumId w:val="3"/>
  </w:num>
  <w:num w:numId="34" w16cid:durableId="2037390563">
    <w:abstractNumId w:val="6"/>
  </w:num>
  <w:num w:numId="35" w16cid:durableId="961303713">
    <w:abstractNumId w:val="10"/>
  </w:num>
  <w:num w:numId="36" w16cid:durableId="8120608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QyNjKzNDUwMTA1MzNX0lEKTi0uzszPAykwqgUAd2EjCywAAAA="/>
  </w:docVars>
  <w:rsids>
    <w:rsidRoot w:val="00EB03BC"/>
    <w:rsid w:val="000012A8"/>
    <w:rsid w:val="000203CB"/>
    <w:rsid w:val="000230D2"/>
    <w:rsid w:val="000374BE"/>
    <w:rsid w:val="00057755"/>
    <w:rsid w:val="00065D68"/>
    <w:rsid w:val="00071A17"/>
    <w:rsid w:val="00081BAC"/>
    <w:rsid w:val="00094B1B"/>
    <w:rsid w:val="000C082E"/>
    <w:rsid w:val="000C3ABB"/>
    <w:rsid w:val="000C510A"/>
    <w:rsid w:val="000C726C"/>
    <w:rsid w:val="000D1D1A"/>
    <w:rsid w:val="000D3774"/>
    <w:rsid w:val="000E3F3D"/>
    <w:rsid w:val="0010530B"/>
    <w:rsid w:val="001373CD"/>
    <w:rsid w:val="001405B4"/>
    <w:rsid w:val="00151540"/>
    <w:rsid w:val="00171D6F"/>
    <w:rsid w:val="00174141"/>
    <w:rsid w:val="00175E49"/>
    <w:rsid w:val="001822F5"/>
    <w:rsid w:val="00191059"/>
    <w:rsid w:val="00195983"/>
    <w:rsid w:val="001A6F94"/>
    <w:rsid w:val="001A71EC"/>
    <w:rsid w:val="001B24D8"/>
    <w:rsid w:val="001C365C"/>
    <w:rsid w:val="001C6938"/>
    <w:rsid w:val="001D21F8"/>
    <w:rsid w:val="001D4D02"/>
    <w:rsid w:val="0020520A"/>
    <w:rsid w:val="0020760F"/>
    <w:rsid w:val="00223CB9"/>
    <w:rsid w:val="00243490"/>
    <w:rsid w:val="00244731"/>
    <w:rsid w:val="00250724"/>
    <w:rsid w:val="00250BDD"/>
    <w:rsid w:val="00251740"/>
    <w:rsid w:val="00255CA2"/>
    <w:rsid w:val="00265D98"/>
    <w:rsid w:val="002800DF"/>
    <w:rsid w:val="00284AD2"/>
    <w:rsid w:val="00285A12"/>
    <w:rsid w:val="00292ECF"/>
    <w:rsid w:val="00294922"/>
    <w:rsid w:val="00297916"/>
    <w:rsid w:val="002A13B7"/>
    <w:rsid w:val="002A3E32"/>
    <w:rsid w:val="002C0C1E"/>
    <w:rsid w:val="002C390A"/>
    <w:rsid w:val="002C62AD"/>
    <w:rsid w:val="002D40A8"/>
    <w:rsid w:val="002F1748"/>
    <w:rsid w:val="002F5490"/>
    <w:rsid w:val="003034D8"/>
    <w:rsid w:val="00305FEF"/>
    <w:rsid w:val="0030747D"/>
    <w:rsid w:val="003171C6"/>
    <w:rsid w:val="003236DA"/>
    <w:rsid w:val="003245E8"/>
    <w:rsid w:val="003314DF"/>
    <w:rsid w:val="003337EC"/>
    <w:rsid w:val="00342D38"/>
    <w:rsid w:val="00350CC9"/>
    <w:rsid w:val="00350DE9"/>
    <w:rsid w:val="00366C88"/>
    <w:rsid w:val="003672CA"/>
    <w:rsid w:val="0037400A"/>
    <w:rsid w:val="00382426"/>
    <w:rsid w:val="003A61F1"/>
    <w:rsid w:val="003B4CD5"/>
    <w:rsid w:val="003C51C6"/>
    <w:rsid w:val="003D1598"/>
    <w:rsid w:val="003D32B3"/>
    <w:rsid w:val="003E0AF7"/>
    <w:rsid w:val="004044C9"/>
    <w:rsid w:val="00406CFC"/>
    <w:rsid w:val="004072D4"/>
    <w:rsid w:val="00414434"/>
    <w:rsid w:val="00420A66"/>
    <w:rsid w:val="004274A7"/>
    <w:rsid w:val="00440C15"/>
    <w:rsid w:val="00443220"/>
    <w:rsid w:val="004523CA"/>
    <w:rsid w:val="0045284B"/>
    <w:rsid w:val="00454BA4"/>
    <w:rsid w:val="00462224"/>
    <w:rsid w:val="00486E96"/>
    <w:rsid w:val="004A480B"/>
    <w:rsid w:val="004A5574"/>
    <w:rsid w:val="004B2F8F"/>
    <w:rsid w:val="004B538A"/>
    <w:rsid w:val="004B7A1B"/>
    <w:rsid w:val="004C183A"/>
    <w:rsid w:val="004C3884"/>
    <w:rsid w:val="004C5472"/>
    <w:rsid w:val="004D3793"/>
    <w:rsid w:val="004D5044"/>
    <w:rsid w:val="004E55BE"/>
    <w:rsid w:val="004E79BC"/>
    <w:rsid w:val="004F7038"/>
    <w:rsid w:val="00504C78"/>
    <w:rsid w:val="00506216"/>
    <w:rsid w:val="005154EE"/>
    <w:rsid w:val="005216FC"/>
    <w:rsid w:val="0052388E"/>
    <w:rsid w:val="005517E5"/>
    <w:rsid w:val="0056121F"/>
    <w:rsid w:val="00567427"/>
    <w:rsid w:val="00582394"/>
    <w:rsid w:val="00583CBB"/>
    <w:rsid w:val="005C1BB9"/>
    <w:rsid w:val="005C7D81"/>
    <w:rsid w:val="005D1616"/>
    <w:rsid w:val="005D66DA"/>
    <w:rsid w:val="005E1FF2"/>
    <w:rsid w:val="006033DA"/>
    <w:rsid w:val="00620A4C"/>
    <w:rsid w:val="00622C54"/>
    <w:rsid w:val="00624903"/>
    <w:rsid w:val="00632449"/>
    <w:rsid w:val="006358B1"/>
    <w:rsid w:val="00635D8E"/>
    <w:rsid w:val="006655E4"/>
    <w:rsid w:val="00672316"/>
    <w:rsid w:val="0067585F"/>
    <w:rsid w:val="006760D9"/>
    <w:rsid w:val="00681148"/>
    <w:rsid w:val="006A13F6"/>
    <w:rsid w:val="006B323A"/>
    <w:rsid w:val="006B3BD6"/>
    <w:rsid w:val="006C5C77"/>
    <w:rsid w:val="006C781F"/>
    <w:rsid w:val="006D0702"/>
    <w:rsid w:val="006E583D"/>
    <w:rsid w:val="00700D61"/>
    <w:rsid w:val="00701F36"/>
    <w:rsid w:val="007255CC"/>
    <w:rsid w:val="0077052D"/>
    <w:rsid w:val="00772F5A"/>
    <w:rsid w:val="007951F5"/>
    <w:rsid w:val="007C0AA3"/>
    <w:rsid w:val="007F3D2D"/>
    <w:rsid w:val="007F453E"/>
    <w:rsid w:val="0080692B"/>
    <w:rsid w:val="00811075"/>
    <w:rsid w:val="008227A1"/>
    <w:rsid w:val="00834247"/>
    <w:rsid w:val="00855D06"/>
    <w:rsid w:val="00862BC2"/>
    <w:rsid w:val="0087015B"/>
    <w:rsid w:val="008A183F"/>
    <w:rsid w:val="008E0B32"/>
    <w:rsid w:val="008E3A1C"/>
    <w:rsid w:val="008F496C"/>
    <w:rsid w:val="008F64F1"/>
    <w:rsid w:val="008F7639"/>
    <w:rsid w:val="009039FA"/>
    <w:rsid w:val="009045C8"/>
    <w:rsid w:val="00914E36"/>
    <w:rsid w:val="009150AF"/>
    <w:rsid w:val="00916688"/>
    <w:rsid w:val="00921CB1"/>
    <w:rsid w:val="00924406"/>
    <w:rsid w:val="00930D29"/>
    <w:rsid w:val="009361B4"/>
    <w:rsid w:val="0094243A"/>
    <w:rsid w:val="00961302"/>
    <w:rsid w:val="0096173A"/>
    <w:rsid w:val="00962ACE"/>
    <w:rsid w:val="009705F7"/>
    <w:rsid w:val="00970DED"/>
    <w:rsid w:val="00971DC9"/>
    <w:rsid w:val="009871BB"/>
    <w:rsid w:val="009932D2"/>
    <w:rsid w:val="009A2EE4"/>
    <w:rsid w:val="009A3C5F"/>
    <w:rsid w:val="009B0D39"/>
    <w:rsid w:val="009B2172"/>
    <w:rsid w:val="009B2E34"/>
    <w:rsid w:val="009C2791"/>
    <w:rsid w:val="009C3B5D"/>
    <w:rsid w:val="009D0FD5"/>
    <w:rsid w:val="009D324D"/>
    <w:rsid w:val="009E3058"/>
    <w:rsid w:val="009F000B"/>
    <w:rsid w:val="009F5C4F"/>
    <w:rsid w:val="00A06475"/>
    <w:rsid w:val="00A430DB"/>
    <w:rsid w:val="00A5184E"/>
    <w:rsid w:val="00A542A2"/>
    <w:rsid w:val="00A62744"/>
    <w:rsid w:val="00A663DD"/>
    <w:rsid w:val="00AB132D"/>
    <w:rsid w:val="00AD17B1"/>
    <w:rsid w:val="00AD438B"/>
    <w:rsid w:val="00AE2ED8"/>
    <w:rsid w:val="00AE748D"/>
    <w:rsid w:val="00AF0CF1"/>
    <w:rsid w:val="00AF17A3"/>
    <w:rsid w:val="00AF1D07"/>
    <w:rsid w:val="00B0599A"/>
    <w:rsid w:val="00B05F45"/>
    <w:rsid w:val="00B242CB"/>
    <w:rsid w:val="00B32B25"/>
    <w:rsid w:val="00B50E5D"/>
    <w:rsid w:val="00B662CC"/>
    <w:rsid w:val="00BA12B0"/>
    <w:rsid w:val="00BB1F16"/>
    <w:rsid w:val="00BC2AA4"/>
    <w:rsid w:val="00BC6FAF"/>
    <w:rsid w:val="00BC7A72"/>
    <w:rsid w:val="00BD5797"/>
    <w:rsid w:val="00BD605D"/>
    <w:rsid w:val="00BE68A3"/>
    <w:rsid w:val="00C04F60"/>
    <w:rsid w:val="00C138DE"/>
    <w:rsid w:val="00C16809"/>
    <w:rsid w:val="00C317C4"/>
    <w:rsid w:val="00C36D6C"/>
    <w:rsid w:val="00C627F0"/>
    <w:rsid w:val="00C73456"/>
    <w:rsid w:val="00C84AC5"/>
    <w:rsid w:val="00CA1C7B"/>
    <w:rsid w:val="00CB220C"/>
    <w:rsid w:val="00CB752A"/>
    <w:rsid w:val="00CC2DB0"/>
    <w:rsid w:val="00CE227E"/>
    <w:rsid w:val="00CE7202"/>
    <w:rsid w:val="00CF7AC9"/>
    <w:rsid w:val="00D03A3E"/>
    <w:rsid w:val="00D10D04"/>
    <w:rsid w:val="00D10D68"/>
    <w:rsid w:val="00D154C5"/>
    <w:rsid w:val="00D21B64"/>
    <w:rsid w:val="00D477A0"/>
    <w:rsid w:val="00D6092E"/>
    <w:rsid w:val="00D712D6"/>
    <w:rsid w:val="00D9432A"/>
    <w:rsid w:val="00DA7E87"/>
    <w:rsid w:val="00DB2E86"/>
    <w:rsid w:val="00DB3529"/>
    <w:rsid w:val="00DB705D"/>
    <w:rsid w:val="00DC57D6"/>
    <w:rsid w:val="00DC6A26"/>
    <w:rsid w:val="00DC77AE"/>
    <w:rsid w:val="00DD206C"/>
    <w:rsid w:val="00DD5AF2"/>
    <w:rsid w:val="00DE2ABD"/>
    <w:rsid w:val="00DE5F27"/>
    <w:rsid w:val="00DE6305"/>
    <w:rsid w:val="00DF4B9E"/>
    <w:rsid w:val="00E24B88"/>
    <w:rsid w:val="00E438C4"/>
    <w:rsid w:val="00E6149A"/>
    <w:rsid w:val="00E63854"/>
    <w:rsid w:val="00E63D88"/>
    <w:rsid w:val="00E66B74"/>
    <w:rsid w:val="00E7364F"/>
    <w:rsid w:val="00E8268B"/>
    <w:rsid w:val="00E93CFB"/>
    <w:rsid w:val="00EB03BC"/>
    <w:rsid w:val="00EB1953"/>
    <w:rsid w:val="00EB4CA2"/>
    <w:rsid w:val="00ED1672"/>
    <w:rsid w:val="00ED49C9"/>
    <w:rsid w:val="00ED7323"/>
    <w:rsid w:val="00EE05F7"/>
    <w:rsid w:val="00EF3006"/>
    <w:rsid w:val="00EF43EE"/>
    <w:rsid w:val="00F02A4B"/>
    <w:rsid w:val="00F16DE9"/>
    <w:rsid w:val="00F231FC"/>
    <w:rsid w:val="00F43718"/>
    <w:rsid w:val="00F43954"/>
    <w:rsid w:val="00F524BA"/>
    <w:rsid w:val="00F66889"/>
    <w:rsid w:val="00F757C6"/>
    <w:rsid w:val="00F83F2E"/>
    <w:rsid w:val="00F901C7"/>
    <w:rsid w:val="00FA20D9"/>
    <w:rsid w:val="00FC51D4"/>
    <w:rsid w:val="00FC5F03"/>
    <w:rsid w:val="00FD6977"/>
    <w:rsid w:val="00FF41F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EAE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2B3"/>
    <w:pPr>
      <w:widowControl w:val="0"/>
      <w:autoSpaceDE w:val="0"/>
      <w:autoSpaceDN w:val="0"/>
      <w:spacing w:after="0" w:line="240" w:lineRule="auto"/>
    </w:pPr>
    <w:rPr>
      <w:rFonts w:ascii="Cambria" w:eastAsia="Cambria" w:hAnsi="Cambria" w:cs="Cambria"/>
      <w:kern w:val="0"/>
      <w:lang w:val="en-US"/>
      <w14:ligatures w14:val="none"/>
    </w:rPr>
  </w:style>
  <w:style w:type="paragraph" w:styleId="Heading1">
    <w:name w:val="heading 1"/>
    <w:basedOn w:val="Normal"/>
    <w:next w:val="Normal"/>
    <w:link w:val="Heading1Char"/>
    <w:uiPriority w:val="9"/>
    <w:qFormat/>
    <w:rsid w:val="00EB03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03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03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03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03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03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3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3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3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3BC"/>
    <w:rPr>
      <w:rFonts w:asciiTheme="majorHAnsi" w:eastAsiaTheme="majorEastAsia" w:hAnsiTheme="majorHAnsi" w:cstheme="majorBidi"/>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EB03BC"/>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EB03BC"/>
    <w:rPr>
      <w:rFonts w:eastAsiaTheme="majorEastAsia" w:cstheme="majorBidi"/>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EB03BC"/>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EB03BC"/>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EB03BC"/>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EB03BC"/>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EB03BC"/>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EB03BC"/>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EB03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3BC"/>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EB03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3BC"/>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EB03BC"/>
    <w:pPr>
      <w:spacing w:before="160"/>
      <w:jc w:val="center"/>
    </w:pPr>
    <w:rPr>
      <w:i/>
      <w:iCs/>
      <w:color w:val="404040" w:themeColor="text1" w:themeTint="BF"/>
    </w:rPr>
  </w:style>
  <w:style w:type="character" w:customStyle="1" w:styleId="QuoteChar">
    <w:name w:val="Quote Char"/>
    <w:basedOn w:val="DefaultParagraphFont"/>
    <w:link w:val="Quote"/>
    <w:uiPriority w:val="29"/>
    <w:rsid w:val="00EB03BC"/>
    <w:rPr>
      <w:i/>
      <w:iCs/>
      <w:color w:val="404040" w:themeColor="text1" w:themeTint="BF"/>
      <w:lang w:val="id-ID"/>
    </w:rPr>
  </w:style>
  <w:style w:type="paragraph" w:styleId="ListParagraph">
    <w:name w:val="List Paragraph"/>
    <w:basedOn w:val="Normal"/>
    <w:qFormat/>
    <w:rsid w:val="00EB03BC"/>
    <w:pPr>
      <w:ind w:left="720"/>
      <w:contextualSpacing/>
    </w:pPr>
  </w:style>
  <w:style w:type="character" w:styleId="IntenseEmphasis">
    <w:name w:val="Intense Emphasis"/>
    <w:basedOn w:val="DefaultParagraphFont"/>
    <w:uiPriority w:val="21"/>
    <w:qFormat/>
    <w:rsid w:val="00EB03BC"/>
    <w:rPr>
      <w:i/>
      <w:iCs/>
      <w:color w:val="2F5496" w:themeColor="accent1" w:themeShade="BF"/>
    </w:rPr>
  </w:style>
  <w:style w:type="paragraph" w:styleId="IntenseQuote">
    <w:name w:val="Intense Quote"/>
    <w:basedOn w:val="Normal"/>
    <w:next w:val="Normal"/>
    <w:link w:val="IntenseQuoteChar"/>
    <w:uiPriority w:val="30"/>
    <w:qFormat/>
    <w:rsid w:val="00EB03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03BC"/>
    <w:rPr>
      <w:i/>
      <w:iCs/>
      <w:color w:val="2F5496" w:themeColor="accent1" w:themeShade="BF"/>
      <w:lang w:val="id-ID"/>
    </w:rPr>
  </w:style>
  <w:style w:type="character" w:styleId="IntenseReference">
    <w:name w:val="Intense Reference"/>
    <w:basedOn w:val="DefaultParagraphFont"/>
    <w:uiPriority w:val="32"/>
    <w:qFormat/>
    <w:rsid w:val="00EB03BC"/>
    <w:rPr>
      <w:b/>
      <w:bCs/>
      <w:smallCaps/>
      <w:color w:val="2F5496" w:themeColor="accent1" w:themeShade="BF"/>
      <w:spacing w:val="5"/>
    </w:rPr>
  </w:style>
  <w:style w:type="paragraph" w:styleId="Header">
    <w:name w:val="header"/>
    <w:basedOn w:val="Normal"/>
    <w:link w:val="HeaderChar"/>
    <w:uiPriority w:val="99"/>
    <w:unhideWhenUsed/>
    <w:rsid w:val="00EB03BC"/>
    <w:pPr>
      <w:tabs>
        <w:tab w:val="center" w:pos="4513"/>
        <w:tab w:val="right" w:pos="9026"/>
      </w:tabs>
    </w:pPr>
  </w:style>
  <w:style w:type="character" w:customStyle="1" w:styleId="HeaderChar">
    <w:name w:val="Header Char"/>
    <w:basedOn w:val="DefaultParagraphFont"/>
    <w:link w:val="Header"/>
    <w:uiPriority w:val="99"/>
    <w:rsid w:val="00EB03BC"/>
    <w:rPr>
      <w:rFonts w:ascii="Cambria" w:eastAsia="Cambria" w:hAnsi="Cambria" w:cs="Cambria"/>
      <w:kern w:val="0"/>
      <w:lang w:val="en-US"/>
      <w14:ligatures w14:val="none"/>
    </w:rPr>
  </w:style>
  <w:style w:type="paragraph" w:styleId="Footer">
    <w:name w:val="footer"/>
    <w:basedOn w:val="Normal"/>
    <w:link w:val="FooterChar"/>
    <w:uiPriority w:val="99"/>
    <w:unhideWhenUsed/>
    <w:rsid w:val="00EB03BC"/>
    <w:pPr>
      <w:tabs>
        <w:tab w:val="center" w:pos="4513"/>
        <w:tab w:val="right" w:pos="9026"/>
      </w:tabs>
    </w:pPr>
  </w:style>
  <w:style w:type="character" w:customStyle="1" w:styleId="FooterChar">
    <w:name w:val="Footer Char"/>
    <w:basedOn w:val="DefaultParagraphFont"/>
    <w:link w:val="Footer"/>
    <w:uiPriority w:val="99"/>
    <w:rsid w:val="00EB03BC"/>
    <w:rPr>
      <w:rFonts w:ascii="Cambria" w:eastAsia="Cambria" w:hAnsi="Cambria" w:cs="Cambria"/>
      <w:kern w:val="0"/>
      <w:lang w:val="en-US"/>
      <w14:ligatures w14:val="none"/>
    </w:rPr>
  </w:style>
  <w:style w:type="table" w:customStyle="1" w:styleId="TableNormal1">
    <w:name w:val="Table Normal1"/>
    <w:uiPriority w:val="2"/>
    <w:semiHidden/>
    <w:unhideWhenUsed/>
    <w:qFormat/>
    <w:rsid w:val="00EB03B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B03BC"/>
  </w:style>
  <w:style w:type="paragraph" w:styleId="BodyText">
    <w:name w:val="Body Text"/>
    <w:basedOn w:val="Normal"/>
    <w:link w:val="BodyTextChar"/>
    <w:uiPriority w:val="1"/>
    <w:qFormat/>
    <w:rsid w:val="00EB03BC"/>
    <w:pPr>
      <w:ind w:left="993"/>
      <w:jc w:val="both"/>
    </w:pPr>
  </w:style>
  <w:style w:type="character" w:customStyle="1" w:styleId="BodyTextChar">
    <w:name w:val="Body Text Char"/>
    <w:basedOn w:val="DefaultParagraphFont"/>
    <w:link w:val="BodyText"/>
    <w:uiPriority w:val="1"/>
    <w:rsid w:val="00EB03BC"/>
    <w:rPr>
      <w:rFonts w:ascii="Cambria" w:eastAsia="Cambria" w:hAnsi="Cambria" w:cs="Cambria"/>
      <w:kern w:val="0"/>
      <w:lang w:val="en-US"/>
      <w14:ligatures w14:val="none"/>
    </w:rPr>
  </w:style>
  <w:style w:type="table" w:styleId="TableGrid">
    <w:name w:val="Table Grid"/>
    <w:basedOn w:val="TableNormal"/>
    <w:uiPriority w:val="39"/>
    <w:rsid w:val="00551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3">
    <w:name w:val="Grid Table 1 Light Accent 3"/>
    <w:basedOn w:val="TableNormal"/>
    <w:uiPriority w:val="46"/>
    <w:rsid w:val="005517E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5517E5"/>
    <w:rPr>
      <w:color w:val="0563C1" w:themeColor="hyperlink"/>
      <w:u w:val="single"/>
    </w:rPr>
  </w:style>
  <w:style w:type="character" w:styleId="UnresolvedMention">
    <w:name w:val="Unresolved Mention"/>
    <w:basedOn w:val="DefaultParagraphFont"/>
    <w:uiPriority w:val="99"/>
    <w:semiHidden/>
    <w:unhideWhenUsed/>
    <w:rsid w:val="005517E5"/>
    <w:rPr>
      <w:color w:val="605E5C"/>
      <w:shd w:val="clear" w:color="auto" w:fill="E1DFDD"/>
    </w:rPr>
  </w:style>
  <w:style w:type="table" w:styleId="PlainTable2">
    <w:name w:val="Plain Table 2"/>
    <w:basedOn w:val="TableNormal"/>
    <w:uiPriority w:val="42"/>
    <w:rsid w:val="006C5C7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CC2DB0"/>
    <w:rPr>
      <w:color w:val="954F72" w:themeColor="followedHyperlink"/>
      <w:u w:val="single"/>
    </w:rPr>
  </w:style>
  <w:style w:type="paragraph" w:customStyle="1" w:styleId="CPTABLE">
    <w:name w:val="CP_TABLE"/>
    <w:basedOn w:val="Normal"/>
    <w:qFormat/>
    <w:rsid w:val="009D0FD5"/>
    <w:pPr>
      <w:widowControl/>
      <w:numPr>
        <w:numId w:val="36"/>
      </w:numPr>
      <w:autoSpaceDE/>
      <w:autoSpaceDN/>
      <w:spacing w:before="240" w:after="120"/>
      <w:ind w:left="850" w:hanging="493"/>
      <w:contextualSpacing/>
      <w:jc w:val="center"/>
    </w:pPr>
    <w:rPr>
      <w:rFonts w:ascii="Times New Roman" w:eastAsia="Calibri" w:hAnsi="Times New Roman" w:cs="Calibri"/>
      <w:sz w:val="24"/>
      <w:szCs w:val="24"/>
    </w:rPr>
  </w:style>
  <w:style w:type="character" w:customStyle="1" w:styleId="ilfuvd">
    <w:name w:val="ilfuvd"/>
    <w:basedOn w:val="DefaultParagraphFont"/>
    <w:rsid w:val="009D0FD5"/>
  </w:style>
  <w:style w:type="character" w:styleId="Emphasis">
    <w:name w:val="Emphasis"/>
    <w:basedOn w:val="DefaultParagraphFont"/>
    <w:uiPriority w:val="20"/>
    <w:qFormat/>
    <w:rsid w:val="00DD206C"/>
    <w:rPr>
      <w:i/>
      <w:iCs/>
    </w:rPr>
  </w:style>
  <w:style w:type="paragraph" w:styleId="NormalWeb">
    <w:name w:val="Normal (Web)"/>
    <w:basedOn w:val="Normal"/>
    <w:uiPriority w:val="99"/>
    <w:unhideWhenUsed/>
    <w:rsid w:val="00CF7AC9"/>
    <w:pPr>
      <w:widowControl/>
      <w:autoSpaceDE/>
      <w:autoSpaceDN/>
      <w:spacing w:before="100" w:beforeAutospacing="1" w:after="100" w:afterAutospacing="1"/>
    </w:pPr>
    <w:rPr>
      <w:rFonts w:ascii="Times New Roman" w:eastAsia="Times New Roman" w:hAnsi="Times New Roman" w:cs="Times New Roman"/>
      <w:sz w:val="24"/>
      <w:szCs w:val="24"/>
      <w:lang w:val="en-ID"/>
    </w:rPr>
  </w:style>
  <w:style w:type="character" w:styleId="Strong">
    <w:name w:val="Strong"/>
    <w:basedOn w:val="DefaultParagraphFont"/>
    <w:uiPriority w:val="22"/>
    <w:qFormat/>
    <w:rsid w:val="00CF7AC9"/>
    <w:rPr>
      <w:b/>
      <w:bCs/>
    </w:rPr>
  </w:style>
  <w:style w:type="character" w:styleId="CommentReference">
    <w:name w:val="annotation reference"/>
    <w:basedOn w:val="DefaultParagraphFont"/>
    <w:uiPriority w:val="99"/>
    <w:semiHidden/>
    <w:unhideWhenUsed/>
    <w:rsid w:val="003236DA"/>
    <w:rPr>
      <w:sz w:val="16"/>
      <w:szCs w:val="16"/>
    </w:rPr>
  </w:style>
  <w:style w:type="paragraph" w:styleId="CommentText">
    <w:name w:val="annotation text"/>
    <w:basedOn w:val="Normal"/>
    <w:link w:val="CommentTextChar"/>
    <w:uiPriority w:val="99"/>
    <w:semiHidden/>
    <w:unhideWhenUsed/>
    <w:rsid w:val="003236DA"/>
    <w:rPr>
      <w:sz w:val="20"/>
      <w:szCs w:val="20"/>
    </w:rPr>
  </w:style>
  <w:style w:type="character" w:customStyle="1" w:styleId="CommentTextChar">
    <w:name w:val="Comment Text Char"/>
    <w:basedOn w:val="DefaultParagraphFont"/>
    <w:link w:val="CommentText"/>
    <w:uiPriority w:val="99"/>
    <w:semiHidden/>
    <w:rsid w:val="003236DA"/>
    <w:rPr>
      <w:rFonts w:ascii="Cambria" w:eastAsia="Cambria" w:hAnsi="Cambria" w:cs="Cambria"/>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3236DA"/>
    <w:rPr>
      <w:b/>
      <w:bCs/>
    </w:rPr>
  </w:style>
  <w:style w:type="character" w:customStyle="1" w:styleId="CommentSubjectChar">
    <w:name w:val="Comment Subject Char"/>
    <w:basedOn w:val="CommentTextChar"/>
    <w:link w:val="CommentSubject"/>
    <w:uiPriority w:val="99"/>
    <w:semiHidden/>
    <w:rsid w:val="003236DA"/>
    <w:rPr>
      <w:rFonts w:ascii="Cambria" w:eastAsia="Cambria" w:hAnsi="Cambria" w:cs="Cambria"/>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sains.staiku.ac.id"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86/1471-2288-3-2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59784/glosins.v7i3.757"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D5C53-76C1-4B6B-A8B3-5F4D7EAE0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6917</Words>
  <Characters>39432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2026-07-07T02:21:00Z</dcterms:created>
  <dcterms:modified xsi:type="dcterms:W3CDTF">2026-07-07T02:21:00Z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8107b712-d4ab-4a93-9cd6-97edafc3bb7b</vt:lpwstr>
  </property>
  <property fmtid="{D5CDD505-2E9C-101B-9397-08002B2CF9AE}" pid="3" name="Mendeley Recent Style Id 0_1">
    <vt:lpwstr>https://csl.mendeley.com/styles/475823531/apa</vt:lpwstr>
  </property>
  <property fmtid="{D5CDD505-2E9C-101B-9397-08002B2CF9AE}" pid="4" name="Mendeley Recent Style Name 0_1">
    <vt:lpwstr>American Psychological Association 6th edition - Mincho Slavov</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 Harvard</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(deprecated)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http://www.zotero.org/styles/vancouver-superscript</vt:lpwstr>
  </property>
  <property fmtid="{D5CDD505-2E9C-101B-9397-08002B2CF9AE}" pid="22" name="Mendeley Recent Style Name 9_1">
    <vt:lpwstr>Vancouver (superscript)</vt:lpwstr>
  </property>
  <property fmtid="{D5CDD505-2E9C-101B-9397-08002B2CF9AE}" pid="23" name="Mendeley Document_1">
    <vt:lpwstr>True</vt:lpwstr>
  </property>
  <property fmtid="{D5CDD505-2E9C-101B-9397-08002B2CF9AE}" pid="24" name="Mendeley Unique User Id_1">
    <vt:lpwstr>e9a442e0-3d96-3c63-9c4d-59de1c41548b</vt:lpwstr>
  </property>
  <property fmtid="{D5CDD505-2E9C-101B-9397-08002B2CF9AE}" pid="25" name="Mendeley Citation Style_1">
    <vt:lpwstr>http://www.zotero.org/styles/apa</vt:lpwstr>
  </property>
</Properties>
</file>